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63" w:rsidRDefault="001A0263" w:rsidP="007131F4">
      <w:pPr>
        <w:widowControl w:val="0"/>
        <w:tabs>
          <w:tab w:val="left" w:pos="1710"/>
        </w:tabs>
        <w:spacing w:line="276" w:lineRule="auto"/>
        <w:jc w:val="both"/>
        <w:rPr>
          <w:sz w:val="24"/>
          <w:szCs w:val="24"/>
          <w:lang w:val="ro-RO"/>
        </w:rPr>
      </w:pPr>
      <w:bookmarkStart w:id="0" w:name="_GoBack"/>
      <w:bookmarkEnd w:id="0"/>
    </w:p>
    <w:p w:rsidR="001A0263" w:rsidRDefault="001A0263" w:rsidP="007131F4">
      <w:pPr>
        <w:widowControl w:val="0"/>
        <w:tabs>
          <w:tab w:val="left" w:pos="1710"/>
        </w:tabs>
        <w:spacing w:line="276" w:lineRule="auto"/>
        <w:jc w:val="both"/>
        <w:rPr>
          <w:sz w:val="24"/>
          <w:szCs w:val="24"/>
          <w:lang w:val="ro-RO"/>
        </w:rPr>
      </w:pPr>
    </w:p>
    <w:p w:rsidR="001A0263" w:rsidRPr="0023087C" w:rsidRDefault="001A0263" w:rsidP="001A0263">
      <w:pPr>
        <w:jc w:val="center"/>
        <w:rPr>
          <w:b/>
          <w:smallCaps/>
          <w:lang w:val="ro-RO"/>
        </w:rPr>
      </w:pPr>
      <w:r>
        <w:rPr>
          <w:smallCaps/>
          <w:lang w:val="ro-RO"/>
        </w:rPr>
        <w:t>Anexa I LA Acordul</w:t>
      </w:r>
      <w:r w:rsidRPr="0023087C">
        <w:rPr>
          <w:smallCaps/>
          <w:lang w:val="ro-RO"/>
        </w:rPr>
        <w:t xml:space="preserve"> de Finanțare  Nr</w:t>
      </w:r>
      <w:r w:rsidRPr="0023087C">
        <w:rPr>
          <w:b/>
          <w:smallCaps/>
          <w:lang w:val="ro-RO"/>
        </w:rPr>
        <w:t xml:space="preserve"> </w:t>
      </w:r>
      <w:r w:rsidRPr="0023087C">
        <w:rPr>
          <w:lang w:val="ro-RO"/>
        </w:rPr>
        <w:t>ENI/2014/033-684</w:t>
      </w:r>
    </w:p>
    <w:p w:rsidR="001A0263" w:rsidRPr="0023087C" w:rsidRDefault="001A0263" w:rsidP="001A0263">
      <w:pPr>
        <w:jc w:val="center"/>
        <w:rPr>
          <w:b/>
          <w:smallCaps/>
          <w:lang w:val="ro-RO"/>
        </w:rPr>
      </w:pPr>
      <w:r w:rsidRPr="0023087C">
        <w:rPr>
          <w:b/>
          <w:smallCaps/>
          <w:lang w:val="ro-RO"/>
        </w:rPr>
        <w:t>dispoziții tehnice și administrative</w:t>
      </w:r>
    </w:p>
    <w:p w:rsidR="001A0263" w:rsidRPr="0023087C" w:rsidRDefault="001A0263" w:rsidP="001A0263">
      <w:pPr>
        <w:rPr>
          <w:b/>
          <w:bCs/>
          <w:i/>
          <w:smallCaps/>
          <w:sz w:val="28"/>
          <w:szCs w:val="28"/>
          <w:lang w:val="ro-RO"/>
        </w:rPr>
      </w:pPr>
    </w:p>
    <w:tbl>
      <w:tblPr>
        <w:tblW w:w="889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148"/>
        <w:gridCol w:w="1920"/>
        <w:gridCol w:w="1920"/>
        <w:gridCol w:w="2909"/>
      </w:tblGrid>
      <w:tr w:rsidR="001A0263" w:rsidRPr="0023087C" w:rsidTr="001A0263">
        <w:trPr>
          <w:trHeight w:val="547"/>
          <w:jc w:val="center"/>
        </w:trPr>
        <w:tc>
          <w:tcPr>
            <w:tcW w:w="2148" w:type="dxa"/>
            <w:tcBorders>
              <w:top w:val="double" w:sz="6" w:space="0" w:color="000000"/>
            </w:tcBorders>
          </w:tcPr>
          <w:p w:rsidR="001A0263" w:rsidRPr="0023087C" w:rsidRDefault="001A0263" w:rsidP="001A0263">
            <w:pPr>
              <w:spacing w:before="120" w:after="120"/>
              <w:rPr>
                <w:rStyle w:val="af3"/>
                <w:b/>
                <w:i w:val="0"/>
                <w:smallCaps/>
                <w:lang w:val="ro-RO"/>
              </w:rPr>
            </w:pPr>
            <w:r w:rsidRPr="0023087C">
              <w:rPr>
                <w:rStyle w:val="af3"/>
                <w:b/>
                <w:smallCaps/>
                <w:lang w:val="ro-RO"/>
              </w:rPr>
              <w:t>Țara</w:t>
            </w:r>
            <w:r>
              <w:rPr>
                <w:rStyle w:val="af3"/>
                <w:b/>
                <w:smallCaps/>
                <w:lang w:val="ro-RO"/>
              </w:rPr>
              <w:t xml:space="preserve"> BENEFICIAR </w:t>
            </w:r>
            <w:r w:rsidRPr="0023087C">
              <w:rPr>
                <w:rStyle w:val="af3"/>
                <w:b/>
                <w:smallCaps/>
                <w:lang w:val="ro-RO"/>
              </w:rPr>
              <w:t xml:space="preserve">/Regiunea </w:t>
            </w:r>
          </w:p>
        </w:tc>
        <w:tc>
          <w:tcPr>
            <w:tcW w:w="6749" w:type="dxa"/>
            <w:gridSpan w:val="3"/>
            <w:tcBorders>
              <w:top w:val="double" w:sz="6" w:space="0" w:color="000000"/>
            </w:tcBorders>
            <w:vAlign w:val="center"/>
          </w:tcPr>
          <w:p w:rsidR="001A0263" w:rsidRPr="0023087C" w:rsidRDefault="001A0263" w:rsidP="001A0263">
            <w:pPr>
              <w:jc w:val="center"/>
              <w:rPr>
                <w:lang w:val="ro-RO"/>
              </w:rPr>
            </w:pPr>
            <w:r w:rsidRPr="0023087C">
              <w:rPr>
                <w:lang w:val="ro-RO" w:eastAsia="de-DE"/>
              </w:rPr>
              <w:t>MOLDOVA</w:t>
            </w:r>
          </w:p>
        </w:tc>
      </w:tr>
      <w:tr w:rsidR="001A0263" w:rsidRPr="0023087C" w:rsidTr="001A0263">
        <w:trPr>
          <w:jc w:val="center"/>
        </w:trPr>
        <w:tc>
          <w:tcPr>
            <w:tcW w:w="2148" w:type="dxa"/>
          </w:tcPr>
          <w:p w:rsidR="001A0263" w:rsidRPr="0023087C" w:rsidRDefault="001A0263" w:rsidP="001A0263">
            <w:pPr>
              <w:spacing w:before="120" w:after="120"/>
              <w:rPr>
                <w:rStyle w:val="af3"/>
                <w:b/>
                <w:i w:val="0"/>
                <w:smallCaps/>
                <w:lang w:val="ro-RO"/>
              </w:rPr>
            </w:pPr>
            <w:r w:rsidRPr="0023087C">
              <w:rPr>
                <w:rStyle w:val="af3"/>
                <w:b/>
                <w:smallCaps/>
                <w:lang w:val="ro-RO"/>
              </w:rPr>
              <w:t>Rubrica bugetară</w:t>
            </w:r>
          </w:p>
        </w:tc>
        <w:tc>
          <w:tcPr>
            <w:tcW w:w="6749" w:type="dxa"/>
            <w:gridSpan w:val="3"/>
            <w:vAlign w:val="center"/>
          </w:tcPr>
          <w:p w:rsidR="001A0263" w:rsidRPr="0023087C" w:rsidRDefault="001A0263" w:rsidP="001A0263">
            <w:pPr>
              <w:jc w:val="center"/>
              <w:rPr>
                <w:lang w:val="ro-RO"/>
              </w:rPr>
            </w:pPr>
            <w:r w:rsidRPr="0023087C">
              <w:rPr>
                <w:lang w:val="ro-RO"/>
              </w:rPr>
              <w:t>21 03 02 01</w:t>
            </w:r>
          </w:p>
        </w:tc>
      </w:tr>
      <w:tr w:rsidR="001A0263" w:rsidRPr="0023087C" w:rsidTr="001A0263">
        <w:trPr>
          <w:jc w:val="center"/>
        </w:trPr>
        <w:tc>
          <w:tcPr>
            <w:tcW w:w="2148" w:type="dxa"/>
          </w:tcPr>
          <w:p w:rsidR="001A0263" w:rsidRPr="0023087C" w:rsidRDefault="001A0263" w:rsidP="001A0263">
            <w:pPr>
              <w:spacing w:before="120" w:after="120"/>
              <w:rPr>
                <w:rStyle w:val="af3"/>
                <w:b/>
                <w:i w:val="0"/>
                <w:smallCaps/>
                <w:lang w:val="ro-RO"/>
              </w:rPr>
            </w:pPr>
            <w:r w:rsidRPr="0023087C">
              <w:rPr>
                <w:rStyle w:val="af3"/>
                <w:b/>
                <w:smallCaps/>
                <w:lang w:val="ro-RO"/>
              </w:rPr>
              <w:t xml:space="preserve">Titlul/Nr Cris </w:t>
            </w:r>
          </w:p>
        </w:tc>
        <w:tc>
          <w:tcPr>
            <w:tcW w:w="6749" w:type="dxa"/>
            <w:gridSpan w:val="3"/>
            <w:vAlign w:val="center"/>
          </w:tcPr>
          <w:p w:rsidR="001A0263" w:rsidRPr="0023087C" w:rsidRDefault="001A0263" w:rsidP="001A0263">
            <w:pPr>
              <w:jc w:val="center"/>
              <w:rPr>
                <w:snapToGrid/>
                <w:lang w:val="ro-RO"/>
              </w:rPr>
            </w:pPr>
            <w:r w:rsidRPr="0023087C">
              <w:rPr>
                <w:snapToGrid/>
                <w:lang w:val="ro-RO"/>
              </w:rPr>
              <w:t xml:space="preserve">Suport pentru Reformele </w:t>
            </w:r>
            <w:r>
              <w:rPr>
                <w:snapToGrid/>
                <w:lang w:val="ro-RO"/>
              </w:rPr>
              <w:t xml:space="preserve">Politicii Finanțelor Publice din Republica </w:t>
            </w:r>
            <w:r w:rsidRPr="0023087C">
              <w:rPr>
                <w:snapToGrid/>
                <w:lang w:val="ro-RO"/>
              </w:rPr>
              <w:t xml:space="preserve">Moldova </w:t>
            </w:r>
          </w:p>
          <w:p w:rsidR="001A0263" w:rsidRPr="0023087C" w:rsidRDefault="001A0263" w:rsidP="001A0263">
            <w:pPr>
              <w:jc w:val="center"/>
              <w:rPr>
                <w:i/>
                <w:lang w:val="ro-RO"/>
              </w:rPr>
            </w:pPr>
            <w:r w:rsidRPr="0023087C">
              <w:rPr>
                <w:lang w:val="ro-RO"/>
              </w:rPr>
              <w:t>Nr CRIS: ENI/2014/033-684</w:t>
            </w:r>
          </w:p>
        </w:tc>
      </w:tr>
      <w:tr w:rsidR="001A0263" w:rsidRPr="0023087C" w:rsidTr="001A0263">
        <w:trPr>
          <w:jc w:val="center"/>
        </w:trPr>
        <w:tc>
          <w:tcPr>
            <w:tcW w:w="2148" w:type="dxa"/>
            <w:tcBorders>
              <w:bottom w:val="single" w:sz="6" w:space="0" w:color="000000"/>
            </w:tcBorders>
          </w:tcPr>
          <w:p w:rsidR="001A0263" w:rsidRPr="0023087C" w:rsidRDefault="001A0263" w:rsidP="001A0263">
            <w:pPr>
              <w:spacing w:before="120" w:after="120"/>
              <w:rPr>
                <w:rStyle w:val="af3"/>
                <w:b/>
                <w:i w:val="0"/>
                <w:smallCaps/>
                <w:lang w:val="ro-RO"/>
              </w:rPr>
            </w:pPr>
            <w:r w:rsidRPr="0023087C">
              <w:rPr>
                <w:rStyle w:val="af3"/>
                <w:b/>
                <w:smallCaps/>
                <w:lang w:val="ro-RO"/>
              </w:rPr>
              <w:t>Costul total</w:t>
            </w:r>
          </w:p>
        </w:tc>
        <w:tc>
          <w:tcPr>
            <w:tcW w:w="6749" w:type="dxa"/>
            <w:gridSpan w:val="3"/>
            <w:tcBorders>
              <w:bottom w:val="single" w:sz="6" w:space="0" w:color="000000"/>
            </w:tcBorders>
            <w:vAlign w:val="center"/>
          </w:tcPr>
          <w:p w:rsidR="001A0263" w:rsidRPr="0023087C" w:rsidRDefault="001A0263" w:rsidP="001A0263">
            <w:pPr>
              <w:spacing w:after="120"/>
              <w:jc w:val="both"/>
              <w:rPr>
                <w:lang w:val="ro-RO"/>
              </w:rPr>
            </w:pPr>
            <w:r w:rsidRPr="0023087C">
              <w:rPr>
                <w:lang w:val="ro-RO"/>
              </w:rPr>
              <w:t>Cotul total estimat: EUR 37,062,500</w:t>
            </w:r>
          </w:p>
          <w:p w:rsidR="001A0263" w:rsidRPr="0023087C" w:rsidRDefault="001A0263" w:rsidP="001A0263">
            <w:pPr>
              <w:spacing w:before="120" w:after="120"/>
              <w:jc w:val="both"/>
              <w:rPr>
                <w:lang w:val="ro-RO"/>
              </w:rPr>
            </w:pPr>
            <w:r w:rsidRPr="0023087C">
              <w:rPr>
                <w:lang w:val="ro-RO"/>
              </w:rPr>
              <w:t>Contribuția totală din bugetul UE pentru este 37 milioane de euro, din care:</w:t>
            </w:r>
          </w:p>
          <w:p w:rsidR="001A0263" w:rsidRPr="0023087C" w:rsidRDefault="001A0263" w:rsidP="001A0263">
            <w:pPr>
              <w:spacing w:before="120" w:after="120"/>
              <w:jc w:val="both"/>
              <w:rPr>
                <w:lang w:val="ro-RO"/>
              </w:rPr>
            </w:pPr>
            <w:r w:rsidRPr="0023087C">
              <w:rPr>
                <w:lang w:val="ro-RO"/>
              </w:rPr>
              <w:t>- 33 milioane euro pentru suport bugetar</w:t>
            </w:r>
          </w:p>
          <w:p w:rsidR="001A0263" w:rsidRPr="0023087C" w:rsidRDefault="001A0263" w:rsidP="001A0263">
            <w:pPr>
              <w:spacing w:before="120" w:after="120"/>
              <w:jc w:val="both"/>
              <w:rPr>
                <w:lang w:val="ro-RO"/>
              </w:rPr>
            </w:pPr>
            <w:r w:rsidRPr="0023087C">
              <w:rPr>
                <w:lang w:val="ro-RO"/>
              </w:rPr>
              <w:t>- 4 milioan</w:t>
            </w:r>
            <w:r>
              <w:rPr>
                <w:lang w:val="ro-RO"/>
              </w:rPr>
              <w:t>e euro pentru asistență</w:t>
            </w:r>
            <w:r w:rsidRPr="0023087C">
              <w:rPr>
                <w:lang w:val="ro-RO"/>
              </w:rPr>
              <w:t xml:space="preserve"> complementar</w:t>
            </w:r>
            <w:r>
              <w:rPr>
                <w:lang w:val="ro-RO"/>
              </w:rPr>
              <w:t>ă</w:t>
            </w:r>
            <w:r w:rsidRPr="0023087C">
              <w:rPr>
                <w:lang w:val="ro-RO"/>
              </w:rPr>
              <w:t xml:space="preserve"> </w:t>
            </w:r>
          </w:p>
          <w:p w:rsidR="001A0263" w:rsidRPr="0023087C" w:rsidRDefault="001A0263" w:rsidP="001A0263">
            <w:pPr>
              <w:jc w:val="both"/>
              <w:rPr>
                <w:lang w:val="ro-RO"/>
              </w:rPr>
            </w:pPr>
            <w:r w:rsidRPr="0023087C">
              <w:rPr>
                <w:lang w:val="ro-RO"/>
              </w:rPr>
              <w:t>Cofinanțarea estimată din partea potențialilor beneficiari ai grantului este 62,500 euro</w:t>
            </w:r>
          </w:p>
          <w:p w:rsidR="001A0263" w:rsidRPr="0023087C" w:rsidRDefault="001A0263" w:rsidP="001A0263">
            <w:pPr>
              <w:jc w:val="both"/>
              <w:rPr>
                <w:lang w:val="ro-RO"/>
              </w:rPr>
            </w:pPr>
          </w:p>
          <w:p w:rsidR="001A0263" w:rsidRPr="0023087C" w:rsidRDefault="001A0263" w:rsidP="001A0263">
            <w:pPr>
              <w:jc w:val="both"/>
              <w:rPr>
                <w:lang w:val="ro-RO"/>
              </w:rPr>
            </w:pPr>
          </w:p>
        </w:tc>
      </w:tr>
      <w:tr w:rsidR="001A0263" w:rsidRPr="0023087C" w:rsidTr="001A0263">
        <w:trPr>
          <w:trHeight w:val="305"/>
          <w:jc w:val="center"/>
        </w:trPr>
        <w:tc>
          <w:tcPr>
            <w:tcW w:w="8897" w:type="dxa"/>
            <w:gridSpan w:val="4"/>
            <w:tcBorders>
              <w:top w:val="single" w:sz="6" w:space="0" w:color="000000"/>
              <w:bottom w:val="double" w:sz="6" w:space="0" w:color="000000"/>
            </w:tcBorders>
            <w:shd w:val="clear" w:color="auto" w:fill="BFBFBF"/>
            <w:vAlign w:val="center"/>
          </w:tcPr>
          <w:p w:rsidR="001A0263" w:rsidRPr="0023087C" w:rsidRDefault="001A0263" w:rsidP="001A0263">
            <w:pPr>
              <w:spacing w:before="120" w:after="120"/>
              <w:jc w:val="center"/>
              <w:rPr>
                <w:b/>
                <w:smallCaps/>
                <w:lang w:val="ro-RO"/>
              </w:rPr>
            </w:pPr>
            <w:r w:rsidRPr="0023087C">
              <w:rPr>
                <w:b/>
                <w:smallCaps/>
                <w:lang w:val="ro-RO"/>
              </w:rPr>
              <w:t>Suport Bugetar</w:t>
            </w:r>
          </w:p>
        </w:tc>
      </w:tr>
      <w:tr w:rsidR="001A0263" w:rsidRPr="0023087C" w:rsidTr="001A0263">
        <w:trPr>
          <w:cantSplit/>
          <w:jc w:val="center"/>
        </w:trPr>
        <w:tc>
          <w:tcPr>
            <w:tcW w:w="2148" w:type="dxa"/>
            <w:tcBorders>
              <w:top w:val="double" w:sz="6" w:space="0" w:color="000000"/>
            </w:tcBorders>
          </w:tcPr>
          <w:p w:rsidR="001A0263" w:rsidRPr="0023087C" w:rsidRDefault="001A0263" w:rsidP="001A0263">
            <w:pPr>
              <w:spacing w:before="120" w:after="120"/>
              <w:rPr>
                <w:rStyle w:val="af3"/>
                <w:b/>
                <w:i w:val="0"/>
                <w:smallCaps/>
                <w:lang w:val="ro-RO"/>
              </w:rPr>
            </w:pPr>
            <w:r w:rsidRPr="0023087C">
              <w:rPr>
                <w:rStyle w:val="af3"/>
                <w:b/>
                <w:smallCaps/>
                <w:lang w:val="ro-RO"/>
              </w:rPr>
              <w:t>Metoda de ajutor / modul de management și Tipurile de Finanțare</w:t>
            </w:r>
          </w:p>
        </w:tc>
        <w:tc>
          <w:tcPr>
            <w:tcW w:w="6749" w:type="dxa"/>
            <w:gridSpan w:val="3"/>
            <w:tcBorders>
              <w:top w:val="double" w:sz="6" w:space="0" w:color="000000"/>
            </w:tcBorders>
            <w:vAlign w:val="center"/>
          </w:tcPr>
          <w:p w:rsidR="001A0263" w:rsidRPr="0023087C" w:rsidRDefault="001A0263" w:rsidP="001A0263">
            <w:pPr>
              <w:pStyle w:val="Text1"/>
              <w:spacing w:before="60" w:after="60"/>
              <w:ind w:left="0"/>
              <w:jc w:val="left"/>
              <w:rPr>
                <w:szCs w:val="24"/>
                <w:lang w:val="ro-RO"/>
              </w:rPr>
            </w:pPr>
            <w:r w:rsidRPr="0023087C">
              <w:rPr>
                <w:szCs w:val="24"/>
                <w:lang w:val="ro-RO"/>
              </w:rPr>
              <w:t>Management direct implementat de Comisie ca Autoritate Contractoare</w:t>
            </w:r>
          </w:p>
          <w:p w:rsidR="001A0263" w:rsidRPr="0023087C" w:rsidRDefault="001A0263" w:rsidP="001A0263">
            <w:pPr>
              <w:pStyle w:val="Text1"/>
              <w:spacing w:before="60" w:after="60"/>
              <w:ind w:left="0"/>
              <w:jc w:val="left"/>
              <w:rPr>
                <w:lang w:val="ro-RO"/>
              </w:rPr>
            </w:pPr>
            <w:r w:rsidRPr="0023087C">
              <w:rPr>
                <w:lang w:val="ro-RO"/>
              </w:rPr>
              <w:t>Contract de Reformă a Sectorului</w:t>
            </w:r>
          </w:p>
        </w:tc>
      </w:tr>
      <w:tr w:rsidR="001A0263" w:rsidRPr="0023087C" w:rsidTr="001A0263">
        <w:trPr>
          <w:jc w:val="center"/>
        </w:trPr>
        <w:tc>
          <w:tcPr>
            <w:tcW w:w="2148" w:type="dxa"/>
            <w:tcBorders>
              <w:bottom w:val="single" w:sz="6" w:space="0" w:color="000000"/>
            </w:tcBorders>
          </w:tcPr>
          <w:p w:rsidR="001A0263" w:rsidRPr="0023087C" w:rsidRDefault="001A0263" w:rsidP="001A0263">
            <w:pPr>
              <w:spacing w:before="120" w:after="120"/>
              <w:rPr>
                <w:rStyle w:val="af3"/>
                <w:b/>
                <w:i w:val="0"/>
                <w:smallCaps/>
                <w:lang w:val="ro-RO"/>
              </w:rPr>
            </w:pPr>
            <w:r w:rsidRPr="0023087C">
              <w:rPr>
                <w:rStyle w:val="af3"/>
                <w:b/>
                <w:smallCaps/>
                <w:lang w:val="ro-RO"/>
              </w:rPr>
              <w:t>Codul DAC</w:t>
            </w:r>
          </w:p>
        </w:tc>
        <w:tc>
          <w:tcPr>
            <w:tcW w:w="1920" w:type="dxa"/>
            <w:tcBorders>
              <w:bottom w:val="single" w:sz="6" w:space="0" w:color="000000"/>
            </w:tcBorders>
            <w:vAlign w:val="center"/>
          </w:tcPr>
          <w:p w:rsidR="001A0263" w:rsidRPr="0023087C" w:rsidRDefault="001A0263" w:rsidP="001A0263">
            <w:pPr>
              <w:rPr>
                <w:lang w:val="ro-RO"/>
              </w:rPr>
            </w:pPr>
            <w:r w:rsidRPr="0023087C">
              <w:rPr>
                <w:snapToGrid/>
                <w:lang w:val="ro-RO" w:eastAsia="de-DE"/>
              </w:rPr>
              <w:t>15111</w:t>
            </w:r>
          </w:p>
        </w:tc>
        <w:tc>
          <w:tcPr>
            <w:tcW w:w="1920" w:type="dxa"/>
            <w:tcBorders>
              <w:bottom w:val="single" w:sz="6" w:space="0" w:color="000000"/>
            </w:tcBorders>
          </w:tcPr>
          <w:p w:rsidR="001A0263" w:rsidRPr="0023087C" w:rsidRDefault="001A0263" w:rsidP="001A0263">
            <w:pPr>
              <w:spacing w:before="120" w:after="120"/>
              <w:rPr>
                <w:b/>
                <w:lang w:val="ro-RO"/>
              </w:rPr>
            </w:pPr>
            <w:r w:rsidRPr="0023087C">
              <w:rPr>
                <w:b/>
                <w:smallCaps/>
                <w:lang w:val="ro-RO"/>
              </w:rPr>
              <w:t>Sector</w:t>
            </w:r>
          </w:p>
        </w:tc>
        <w:tc>
          <w:tcPr>
            <w:tcW w:w="2909" w:type="dxa"/>
            <w:tcBorders>
              <w:bottom w:val="single" w:sz="6" w:space="0" w:color="000000"/>
            </w:tcBorders>
            <w:vAlign w:val="bottom"/>
          </w:tcPr>
          <w:p w:rsidR="001A0263" w:rsidRPr="0023087C" w:rsidRDefault="001A0263" w:rsidP="001A0263">
            <w:pPr>
              <w:pStyle w:val="Text1"/>
              <w:spacing w:before="60" w:after="60"/>
              <w:ind w:left="0"/>
              <w:jc w:val="center"/>
              <w:rPr>
                <w:sz w:val="22"/>
                <w:szCs w:val="22"/>
                <w:lang w:val="ro-RO"/>
              </w:rPr>
            </w:pPr>
            <w:r w:rsidRPr="0023087C">
              <w:rPr>
                <w:sz w:val="22"/>
                <w:szCs w:val="22"/>
                <w:lang w:val="ro-RO"/>
              </w:rPr>
              <w:t>Managementul Finanțelor Publice</w:t>
            </w:r>
          </w:p>
        </w:tc>
      </w:tr>
      <w:tr w:rsidR="001A0263" w:rsidRPr="0023087C" w:rsidTr="001A0263">
        <w:trPr>
          <w:jc w:val="center"/>
        </w:trPr>
        <w:tc>
          <w:tcPr>
            <w:tcW w:w="8897" w:type="dxa"/>
            <w:gridSpan w:val="4"/>
            <w:tcBorders>
              <w:top w:val="single" w:sz="6" w:space="0" w:color="000000"/>
              <w:bottom w:val="double" w:sz="6" w:space="0" w:color="000000"/>
            </w:tcBorders>
            <w:shd w:val="clear" w:color="auto" w:fill="BFBFBF"/>
          </w:tcPr>
          <w:p w:rsidR="001A0263" w:rsidRPr="0023087C" w:rsidRDefault="001A0263" w:rsidP="001A0263">
            <w:pPr>
              <w:jc w:val="center"/>
              <w:rPr>
                <w:b/>
                <w:smallCaps/>
                <w:lang w:val="ro-RO"/>
              </w:rPr>
            </w:pPr>
            <w:r w:rsidRPr="0023087C">
              <w:rPr>
                <w:b/>
                <w:smallCaps/>
                <w:lang w:val="ro-RO"/>
              </w:rPr>
              <w:t>Suport Complementar</w:t>
            </w:r>
          </w:p>
        </w:tc>
      </w:tr>
      <w:tr w:rsidR="001A0263" w:rsidRPr="0023087C" w:rsidTr="001A0263">
        <w:trPr>
          <w:jc w:val="center"/>
        </w:trPr>
        <w:tc>
          <w:tcPr>
            <w:tcW w:w="2148" w:type="dxa"/>
          </w:tcPr>
          <w:p w:rsidR="001A0263" w:rsidRPr="0023087C" w:rsidRDefault="001A0263" w:rsidP="001A0263">
            <w:pPr>
              <w:spacing w:before="120" w:after="120"/>
              <w:rPr>
                <w:rStyle w:val="af3"/>
                <w:b/>
                <w:i w:val="0"/>
                <w:smallCaps/>
                <w:lang w:val="ro-RO"/>
              </w:rPr>
            </w:pPr>
            <w:r w:rsidRPr="0023087C">
              <w:rPr>
                <w:rStyle w:val="af3"/>
                <w:b/>
                <w:smallCaps/>
                <w:lang w:val="ro-RO"/>
              </w:rPr>
              <w:t>Metoda de ajutor / modul de management și Tipurile de Finanțare</w:t>
            </w:r>
          </w:p>
        </w:tc>
        <w:tc>
          <w:tcPr>
            <w:tcW w:w="6749" w:type="dxa"/>
            <w:gridSpan w:val="3"/>
            <w:vAlign w:val="center"/>
          </w:tcPr>
          <w:p w:rsidR="001A0263" w:rsidRPr="0023087C" w:rsidRDefault="001A0263" w:rsidP="001A0263">
            <w:pPr>
              <w:pStyle w:val="Text1"/>
              <w:spacing w:before="60" w:after="60"/>
              <w:ind w:left="0"/>
              <w:jc w:val="left"/>
              <w:rPr>
                <w:szCs w:val="24"/>
                <w:lang w:val="ro-RO"/>
              </w:rPr>
            </w:pPr>
            <w:r w:rsidRPr="0023087C">
              <w:rPr>
                <w:szCs w:val="24"/>
                <w:lang w:val="ro-RO"/>
              </w:rPr>
              <w:t>Management direct implementat de Comisie ca Autoritate Contractoare:</w:t>
            </w:r>
          </w:p>
          <w:p w:rsidR="001A0263" w:rsidRPr="0023087C" w:rsidRDefault="001A0263" w:rsidP="001A0263">
            <w:pPr>
              <w:pStyle w:val="Text1"/>
              <w:ind w:left="0"/>
              <w:jc w:val="left"/>
              <w:rPr>
                <w:lang w:val="ro-RO"/>
              </w:rPr>
            </w:pPr>
            <w:r w:rsidRPr="0023087C">
              <w:rPr>
                <w:lang w:val="ro-RO"/>
              </w:rPr>
              <w:t>– granturi – apel la propuneri</w:t>
            </w:r>
          </w:p>
          <w:p w:rsidR="001A0263" w:rsidRPr="0023087C" w:rsidRDefault="001A0263" w:rsidP="001A0263">
            <w:pPr>
              <w:pStyle w:val="Text1"/>
              <w:ind w:left="0"/>
              <w:jc w:val="left"/>
              <w:rPr>
                <w:lang w:val="ro-RO"/>
              </w:rPr>
            </w:pPr>
            <w:r w:rsidRPr="0023087C">
              <w:rPr>
                <w:lang w:val="ro-RO"/>
              </w:rPr>
              <w:t>– procurarea serviciilor</w:t>
            </w:r>
          </w:p>
          <w:p w:rsidR="001A0263" w:rsidRPr="0023087C" w:rsidRDefault="001A0263" w:rsidP="001A0263">
            <w:pPr>
              <w:rPr>
                <w:lang w:val="ro-RO"/>
              </w:rPr>
            </w:pPr>
          </w:p>
        </w:tc>
      </w:tr>
      <w:tr w:rsidR="001A0263" w:rsidRPr="0023087C" w:rsidTr="001A0263">
        <w:trPr>
          <w:jc w:val="center"/>
        </w:trPr>
        <w:tc>
          <w:tcPr>
            <w:tcW w:w="2148" w:type="dxa"/>
            <w:tcBorders>
              <w:bottom w:val="double" w:sz="6" w:space="0" w:color="000000"/>
            </w:tcBorders>
          </w:tcPr>
          <w:p w:rsidR="001A0263" w:rsidRPr="0023087C" w:rsidRDefault="001A0263" w:rsidP="001A0263">
            <w:pPr>
              <w:spacing w:before="120" w:after="120"/>
              <w:rPr>
                <w:rStyle w:val="af3"/>
                <w:b/>
                <w:i w:val="0"/>
                <w:smallCaps/>
                <w:lang w:val="ro-RO"/>
              </w:rPr>
            </w:pPr>
            <w:r w:rsidRPr="0023087C">
              <w:rPr>
                <w:rStyle w:val="af3"/>
                <w:b/>
                <w:smallCaps/>
                <w:lang w:val="ro-RO"/>
              </w:rPr>
              <w:t>DAC code</w:t>
            </w:r>
          </w:p>
        </w:tc>
        <w:tc>
          <w:tcPr>
            <w:tcW w:w="1920" w:type="dxa"/>
            <w:tcBorders>
              <w:bottom w:val="double" w:sz="6" w:space="0" w:color="000000"/>
            </w:tcBorders>
            <w:vAlign w:val="center"/>
          </w:tcPr>
          <w:p w:rsidR="001A0263" w:rsidRPr="0023087C" w:rsidRDefault="001A0263" w:rsidP="001A0263">
            <w:pPr>
              <w:rPr>
                <w:lang w:val="ro-RO"/>
              </w:rPr>
            </w:pPr>
            <w:r w:rsidRPr="0023087C">
              <w:rPr>
                <w:snapToGrid/>
                <w:lang w:val="ro-RO" w:eastAsia="de-DE"/>
              </w:rPr>
              <w:t>15111</w:t>
            </w:r>
          </w:p>
        </w:tc>
        <w:tc>
          <w:tcPr>
            <w:tcW w:w="1920" w:type="dxa"/>
            <w:tcBorders>
              <w:bottom w:val="double" w:sz="6" w:space="0" w:color="000000"/>
            </w:tcBorders>
          </w:tcPr>
          <w:p w:rsidR="001A0263" w:rsidRPr="0023087C" w:rsidRDefault="001A0263" w:rsidP="001A0263">
            <w:pPr>
              <w:spacing w:before="120" w:after="120"/>
              <w:rPr>
                <w:b/>
                <w:lang w:val="ro-RO"/>
              </w:rPr>
            </w:pPr>
            <w:r w:rsidRPr="0023087C">
              <w:rPr>
                <w:b/>
                <w:smallCaps/>
                <w:lang w:val="ro-RO"/>
              </w:rPr>
              <w:t>Sector</w:t>
            </w:r>
          </w:p>
        </w:tc>
        <w:tc>
          <w:tcPr>
            <w:tcW w:w="2909" w:type="dxa"/>
            <w:tcBorders>
              <w:bottom w:val="double" w:sz="6" w:space="0" w:color="000000"/>
            </w:tcBorders>
            <w:vAlign w:val="center"/>
          </w:tcPr>
          <w:p w:rsidR="001A0263" w:rsidRPr="0023087C" w:rsidRDefault="001A0263" w:rsidP="001A0263">
            <w:pPr>
              <w:pStyle w:val="Text1"/>
              <w:spacing w:before="60" w:after="60"/>
              <w:ind w:left="0"/>
              <w:jc w:val="center"/>
              <w:rPr>
                <w:sz w:val="22"/>
                <w:szCs w:val="22"/>
                <w:lang w:val="ro-RO"/>
              </w:rPr>
            </w:pPr>
            <w:r w:rsidRPr="0023087C">
              <w:rPr>
                <w:sz w:val="22"/>
                <w:szCs w:val="22"/>
                <w:lang w:val="ro-RO"/>
              </w:rPr>
              <w:t>Managementul Finanțelor Publice</w:t>
            </w:r>
          </w:p>
        </w:tc>
      </w:tr>
    </w:tbl>
    <w:p w:rsidR="001A0263" w:rsidRPr="0023087C" w:rsidRDefault="001A0263" w:rsidP="001A0263">
      <w:pPr>
        <w:pStyle w:val="1"/>
        <w:tabs>
          <w:tab w:val="num" w:pos="850"/>
        </w:tabs>
        <w:rPr>
          <w:szCs w:val="24"/>
          <w:lang w:val="ro-RO"/>
        </w:rPr>
      </w:pPr>
      <w:r w:rsidRPr="0023087C">
        <w:rPr>
          <w:szCs w:val="24"/>
          <w:lang w:val="ro-RO"/>
        </w:rPr>
        <w:t xml:space="preserve">1. </w:t>
      </w:r>
      <w:r w:rsidRPr="0023087C">
        <w:rPr>
          <w:szCs w:val="24"/>
          <w:lang w:val="ro-RO"/>
        </w:rPr>
        <w:tab/>
        <w:t>Descriere</w:t>
      </w:r>
    </w:p>
    <w:p w:rsidR="001A0263" w:rsidRPr="0023087C" w:rsidRDefault="001A0263" w:rsidP="001A0263">
      <w:pPr>
        <w:pStyle w:val="20"/>
        <w:ind w:left="851" w:hanging="851"/>
        <w:rPr>
          <w:szCs w:val="24"/>
          <w:lang w:val="ro-RO"/>
        </w:rPr>
      </w:pPr>
      <w:r w:rsidRPr="0023087C">
        <w:rPr>
          <w:szCs w:val="24"/>
          <w:lang w:val="ro-RO"/>
        </w:rPr>
        <w:t xml:space="preserve">1.1. </w:t>
      </w:r>
      <w:r w:rsidRPr="0023087C">
        <w:rPr>
          <w:szCs w:val="24"/>
          <w:lang w:val="ro-RO"/>
        </w:rPr>
        <w:tab/>
        <w:t>Obiective</w:t>
      </w:r>
    </w:p>
    <w:p w:rsidR="001A0263" w:rsidRPr="0023087C" w:rsidRDefault="001A0263" w:rsidP="001A0263">
      <w:pPr>
        <w:pStyle w:val="2"/>
        <w:numPr>
          <w:ilvl w:val="0"/>
          <w:numId w:val="0"/>
        </w:numPr>
        <w:ind w:left="851"/>
        <w:rPr>
          <w:szCs w:val="24"/>
          <w:lang w:val="ro-RO"/>
        </w:rPr>
      </w:pPr>
      <w:r w:rsidRPr="0023087C">
        <w:rPr>
          <w:szCs w:val="24"/>
          <w:u w:val="single"/>
          <w:lang w:val="ro-RO"/>
        </w:rPr>
        <w:t xml:space="preserve">Obiective Generale: </w:t>
      </w:r>
    </w:p>
    <w:p w:rsidR="001A0263" w:rsidRPr="0023087C" w:rsidRDefault="001A0263" w:rsidP="001A0263">
      <w:pPr>
        <w:spacing w:before="120"/>
        <w:jc w:val="both"/>
        <w:rPr>
          <w:bCs/>
          <w:lang w:val="ro-RO"/>
        </w:rPr>
      </w:pPr>
      <w:r w:rsidRPr="0023087C">
        <w:rPr>
          <w:bCs/>
          <w:lang w:val="ro-RO"/>
        </w:rPr>
        <w:t xml:space="preserve">Obiectivul general al acestui program este de a contribui la creșterea </w:t>
      </w:r>
      <w:r>
        <w:rPr>
          <w:bCs/>
          <w:lang w:val="ro-RO"/>
        </w:rPr>
        <w:t>economică durabilă</w:t>
      </w:r>
      <w:r w:rsidRPr="0023087C">
        <w:rPr>
          <w:bCs/>
          <w:lang w:val="ro-RO"/>
        </w:rPr>
        <w:t xml:space="preserve">, menținerea stabilității macroeconomice și fiscale și în cele din urmă reducerea sărăciei din Moldova. </w:t>
      </w:r>
    </w:p>
    <w:p w:rsidR="001A0263" w:rsidRPr="0023087C" w:rsidRDefault="001A0263" w:rsidP="001A0263">
      <w:pPr>
        <w:ind w:left="851"/>
        <w:jc w:val="both"/>
        <w:rPr>
          <w:lang w:val="ro-RO"/>
        </w:rPr>
      </w:pPr>
    </w:p>
    <w:p w:rsidR="001A0263" w:rsidRPr="0023087C" w:rsidRDefault="001A0263" w:rsidP="001A0263">
      <w:pPr>
        <w:pStyle w:val="ListNumber1"/>
        <w:numPr>
          <w:ilvl w:val="0"/>
          <w:numId w:val="0"/>
        </w:numPr>
        <w:ind w:left="851"/>
        <w:rPr>
          <w:szCs w:val="24"/>
          <w:u w:val="single"/>
          <w:lang w:val="ro-RO"/>
        </w:rPr>
      </w:pPr>
      <w:r w:rsidRPr="0023087C">
        <w:rPr>
          <w:szCs w:val="24"/>
          <w:u w:val="single"/>
          <w:lang w:val="ro-RO"/>
        </w:rPr>
        <w:t>Obiective Specifice:</w:t>
      </w:r>
    </w:p>
    <w:p w:rsidR="001A0263" w:rsidRPr="0023087C" w:rsidRDefault="001A0263" w:rsidP="001A0263">
      <w:pPr>
        <w:spacing w:before="120"/>
        <w:jc w:val="both"/>
        <w:rPr>
          <w:bCs/>
          <w:lang w:val="ro-RO"/>
        </w:rPr>
      </w:pPr>
      <w:r w:rsidRPr="0023087C">
        <w:rPr>
          <w:bCs/>
          <w:lang w:val="ro-RO"/>
        </w:rPr>
        <w:t>Obiectivul specific este de a asista Guvernul (în special Ministerul Finanțelor), Parlamentul (în special Comisia Economie, Buget și Finanțe) și Instituțiile Supreme de Audit (Curtea de Conturi) a Moldovei în procesul d</w:t>
      </w:r>
      <w:r>
        <w:rPr>
          <w:bCs/>
          <w:lang w:val="ro-RO"/>
        </w:rPr>
        <w:t>e consolidare a bunei guvernări</w:t>
      </w:r>
      <w:r w:rsidRPr="0023087C">
        <w:rPr>
          <w:bCs/>
          <w:lang w:val="ro-RO"/>
        </w:rPr>
        <w:t>,</w:t>
      </w:r>
      <w:r>
        <w:rPr>
          <w:bCs/>
          <w:lang w:val="ro-RO"/>
        </w:rPr>
        <w:t xml:space="preserve"> a unei politici fiscale eficiente</w:t>
      </w:r>
      <w:r w:rsidRPr="0023087C">
        <w:rPr>
          <w:bCs/>
          <w:lang w:val="ro-RO"/>
        </w:rPr>
        <w:t xml:space="preserve">, </w:t>
      </w:r>
      <w:r>
        <w:rPr>
          <w:bCs/>
          <w:lang w:val="ro-RO"/>
        </w:rPr>
        <w:t>și va duce la îmbunătățirea sistemelor managementului finanțelor publice</w:t>
      </w:r>
      <w:r w:rsidRPr="0023087C">
        <w:rPr>
          <w:bCs/>
          <w:lang w:val="ro-RO"/>
        </w:rPr>
        <w:t xml:space="preserve">. </w:t>
      </w:r>
    </w:p>
    <w:p w:rsidR="001A0263" w:rsidRPr="0023087C" w:rsidRDefault="001A0263" w:rsidP="001A0263">
      <w:pPr>
        <w:pStyle w:val="2"/>
        <w:numPr>
          <w:ilvl w:val="0"/>
          <w:numId w:val="0"/>
        </w:numPr>
        <w:rPr>
          <w:b/>
          <w:szCs w:val="24"/>
          <w:lang w:val="ro-RO"/>
        </w:rPr>
      </w:pPr>
      <w:r w:rsidRPr="0023087C">
        <w:rPr>
          <w:b/>
          <w:szCs w:val="24"/>
          <w:lang w:val="ro-RO"/>
        </w:rPr>
        <w:lastRenderedPageBreak/>
        <w:t xml:space="preserve">1.2. </w:t>
      </w:r>
      <w:r w:rsidRPr="0023087C">
        <w:rPr>
          <w:b/>
          <w:szCs w:val="24"/>
          <w:lang w:val="ro-RO"/>
        </w:rPr>
        <w:tab/>
        <w:t>Rezultate așteptate</w:t>
      </w:r>
    </w:p>
    <w:p w:rsidR="001A0263" w:rsidRPr="0023087C" w:rsidRDefault="001A0263" w:rsidP="001A0263">
      <w:pPr>
        <w:pStyle w:val="Default"/>
        <w:jc w:val="both"/>
        <w:rPr>
          <w:rFonts w:ascii="Times New Roman" w:hAnsi="Times New Roman" w:cs="Times New Roman"/>
          <w:color w:val="auto"/>
          <w:lang w:val="ro-RO"/>
        </w:rPr>
      </w:pPr>
      <w:r w:rsidRPr="0023087C">
        <w:rPr>
          <w:rFonts w:ascii="Times New Roman" w:hAnsi="Times New Roman" w:cs="Times New Roman"/>
          <w:bCs/>
          <w:color w:val="auto"/>
          <w:lang w:val="ro-RO"/>
        </w:rPr>
        <w:t>Rezultatele așteptate ale suportului bugetar sunt</w:t>
      </w:r>
      <w:r w:rsidRPr="0023087C">
        <w:rPr>
          <w:rFonts w:ascii="Times New Roman" w:hAnsi="Times New Roman" w:cs="Times New Roman"/>
          <w:color w:val="auto"/>
          <w:lang w:val="ro-RO"/>
        </w:rPr>
        <w:t>:</w:t>
      </w:r>
    </w:p>
    <w:p w:rsidR="001A0263" w:rsidRPr="0023087C" w:rsidRDefault="001A0263" w:rsidP="001A0263">
      <w:pPr>
        <w:numPr>
          <w:ilvl w:val="0"/>
          <w:numId w:val="44"/>
        </w:numPr>
        <w:spacing w:before="60"/>
        <w:ind w:left="1208" w:hanging="357"/>
        <w:jc w:val="both"/>
        <w:rPr>
          <w:lang w:val="ro-RO"/>
        </w:rPr>
      </w:pPr>
      <w:r w:rsidRPr="0023087C">
        <w:rPr>
          <w:lang w:val="ro-RO"/>
        </w:rPr>
        <w:t>Îmbunătățirea calitativă și cantitativă a analizei bugetului, inclusiv îmbunătățirea prognozelor macroeconomice și prognozelor veniturilor, pentru stabilirea obiectivelor fiscale și a nivelului cheltuielilor compatibile cu aceste obiective pe termen mediu;</w:t>
      </w:r>
    </w:p>
    <w:p w:rsidR="001A0263" w:rsidRPr="0023087C" w:rsidRDefault="001A0263" w:rsidP="001A0263">
      <w:pPr>
        <w:numPr>
          <w:ilvl w:val="0"/>
          <w:numId w:val="44"/>
        </w:numPr>
        <w:spacing w:before="60"/>
        <w:ind w:left="1208" w:hanging="357"/>
        <w:jc w:val="both"/>
        <w:rPr>
          <w:lang w:val="ro-RO"/>
        </w:rPr>
      </w:pPr>
      <w:r w:rsidRPr="0023087C">
        <w:rPr>
          <w:lang w:val="ro-RO"/>
        </w:rPr>
        <w:t>Sporirea considerării din partea Guvernului pentru rolul instituțiilor publice independente în legătură cu politicile fiscale;</w:t>
      </w:r>
    </w:p>
    <w:p w:rsidR="001A0263" w:rsidRPr="0023087C" w:rsidRDefault="001A0263" w:rsidP="001A0263">
      <w:pPr>
        <w:numPr>
          <w:ilvl w:val="0"/>
          <w:numId w:val="44"/>
        </w:numPr>
        <w:spacing w:before="60"/>
        <w:ind w:left="1208" w:hanging="357"/>
        <w:jc w:val="both"/>
        <w:rPr>
          <w:lang w:val="ro-RO"/>
        </w:rPr>
      </w:pPr>
      <w:r w:rsidRPr="0023087C">
        <w:rPr>
          <w:lang w:val="ro-RO"/>
        </w:rPr>
        <w:t xml:space="preserve">Sporirea capacităților </w:t>
      </w:r>
      <w:r w:rsidRPr="0023087C">
        <w:rPr>
          <w:bCs/>
          <w:lang w:val="ro-RO"/>
        </w:rPr>
        <w:t>Comisiei Parlamentare Economie, Buget și Finanțe</w:t>
      </w:r>
      <w:r w:rsidRPr="0023087C">
        <w:rPr>
          <w:lang w:val="ro-RO"/>
        </w:rPr>
        <w:t xml:space="preserve"> pentru supravegherea și controlul bugetar;</w:t>
      </w:r>
    </w:p>
    <w:p w:rsidR="001A0263" w:rsidRPr="0023087C" w:rsidRDefault="001A0263" w:rsidP="001A0263">
      <w:pPr>
        <w:numPr>
          <w:ilvl w:val="0"/>
          <w:numId w:val="44"/>
        </w:numPr>
        <w:spacing w:before="60"/>
        <w:ind w:left="1208" w:hanging="357"/>
        <w:jc w:val="both"/>
        <w:rPr>
          <w:lang w:val="ro-RO"/>
        </w:rPr>
      </w:pPr>
      <w:r w:rsidRPr="0023087C">
        <w:rPr>
          <w:lang w:val="ro-RO"/>
        </w:rPr>
        <w:t>Îmbunătățirea calității rapoartelor externe de audit, efectuate de către Curtea de Conturi, o transparență sporită în procesul de audit extern, precum și o implementare mai bună a recomandărilor Curții de Conturi;</w:t>
      </w:r>
    </w:p>
    <w:p w:rsidR="001A0263" w:rsidRPr="0023087C" w:rsidRDefault="001A0263" w:rsidP="001A0263">
      <w:pPr>
        <w:numPr>
          <w:ilvl w:val="0"/>
          <w:numId w:val="44"/>
        </w:numPr>
        <w:spacing w:before="60"/>
        <w:ind w:left="1208" w:hanging="357"/>
        <w:jc w:val="both"/>
        <w:rPr>
          <w:lang w:val="ro-RO"/>
        </w:rPr>
      </w:pPr>
      <w:r w:rsidRPr="0023087C">
        <w:rPr>
          <w:lang w:val="ro-RO"/>
        </w:rPr>
        <w:t>Planificarea eficientă a bugetului, anual cît și pe termen mediu, cu un nivel sporit de disciplină și credibilitate bugetară;</w:t>
      </w:r>
    </w:p>
    <w:p w:rsidR="001A0263" w:rsidRPr="0023087C" w:rsidRDefault="001A0263" w:rsidP="001A0263">
      <w:pPr>
        <w:numPr>
          <w:ilvl w:val="0"/>
          <w:numId w:val="44"/>
        </w:numPr>
        <w:spacing w:before="60"/>
        <w:ind w:left="1208" w:hanging="357"/>
        <w:jc w:val="both"/>
        <w:rPr>
          <w:lang w:val="ro-RO"/>
        </w:rPr>
      </w:pPr>
      <w:r w:rsidRPr="0023087C">
        <w:rPr>
          <w:lang w:val="ro-RO"/>
        </w:rPr>
        <w:t>Îmbunătățirea  sistemelor de management a finanțelor publice pentru a asigura un control eficient al cheltuielilor (incluzînd un sistem adecvat de contabilitate și raportare) și o gestionare eficientă a datoriei întru a garanta costuri mici de deservire și de a minimaliza riscurile fiscale;</w:t>
      </w:r>
    </w:p>
    <w:p w:rsidR="001A0263" w:rsidRPr="0023087C" w:rsidRDefault="001A0263" w:rsidP="001A0263">
      <w:pPr>
        <w:numPr>
          <w:ilvl w:val="0"/>
          <w:numId w:val="44"/>
        </w:numPr>
        <w:spacing w:before="60"/>
        <w:ind w:left="1208" w:hanging="357"/>
        <w:jc w:val="both"/>
        <w:rPr>
          <w:lang w:val="ro-RO"/>
        </w:rPr>
      </w:pPr>
      <w:r w:rsidRPr="0023087C">
        <w:rPr>
          <w:lang w:val="ro-RO"/>
        </w:rPr>
        <w:t>Îmbunătățirea transparenței bugetare împreună cu îmbunătățirea accesului public la informația fiscală cheie, mărind claritatea cetățenilor referitoare la buget.</w:t>
      </w:r>
    </w:p>
    <w:p w:rsidR="001A0263" w:rsidRPr="0023087C" w:rsidRDefault="001A0263" w:rsidP="001A0263">
      <w:pPr>
        <w:pStyle w:val="Default"/>
        <w:spacing w:before="120"/>
        <w:jc w:val="both"/>
        <w:rPr>
          <w:rFonts w:ascii="Times New Roman" w:hAnsi="Times New Roman" w:cs="Times New Roman"/>
          <w:bCs/>
          <w:color w:val="auto"/>
          <w:lang w:val="ro-RO"/>
        </w:rPr>
      </w:pPr>
      <w:r w:rsidRPr="0023087C">
        <w:rPr>
          <w:rFonts w:ascii="Times New Roman" w:hAnsi="Times New Roman" w:cs="Times New Roman"/>
          <w:bCs/>
          <w:color w:val="auto"/>
          <w:lang w:val="ro-RO"/>
        </w:rPr>
        <w:t xml:space="preserve">Rezultatele așteptate ale suportului complementar sunt: </w:t>
      </w:r>
    </w:p>
    <w:p w:rsidR="001A0263" w:rsidRPr="0023087C" w:rsidRDefault="001A0263" w:rsidP="001A0263">
      <w:pPr>
        <w:numPr>
          <w:ilvl w:val="0"/>
          <w:numId w:val="45"/>
        </w:numPr>
        <w:spacing w:before="60"/>
        <w:ind w:left="1208" w:hanging="357"/>
        <w:jc w:val="both"/>
        <w:rPr>
          <w:lang w:val="ro-RO"/>
        </w:rPr>
      </w:pPr>
      <w:r w:rsidRPr="0023087C">
        <w:rPr>
          <w:lang w:val="ro-RO"/>
        </w:rPr>
        <w:t>Îmbunătățirea prognozării macroeconomice și a veniturilor pentru setarea scopurilor fiscale și nivelelor de cheltuieli compatibile cu aceste scopuri pe termen mediu;</w:t>
      </w:r>
    </w:p>
    <w:p w:rsidR="001A0263" w:rsidRPr="0023087C" w:rsidRDefault="001A0263" w:rsidP="001A0263">
      <w:pPr>
        <w:numPr>
          <w:ilvl w:val="0"/>
          <w:numId w:val="44"/>
        </w:numPr>
        <w:spacing w:before="60"/>
        <w:ind w:left="1208" w:hanging="357"/>
        <w:jc w:val="both"/>
        <w:rPr>
          <w:lang w:val="ro-RO"/>
        </w:rPr>
      </w:pPr>
      <w:r w:rsidRPr="0023087C">
        <w:rPr>
          <w:lang w:val="ro-RO"/>
        </w:rPr>
        <w:t>Planificarea eficientă a bugetului, anual cît și pe termen mediu, cu un nivel sporit de disciplină și credibilitate bugetară;</w:t>
      </w:r>
    </w:p>
    <w:p w:rsidR="001A0263" w:rsidRPr="0023087C" w:rsidRDefault="001A0263" w:rsidP="001A0263">
      <w:pPr>
        <w:numPr>
          <w:ilvl w:val="0"/>
          <w:numId w:val="44"/>
        </w:numPr>
        <w:spacing w:before="60"/>
        <w:ind w:left="1208" w:hanging="357"/>
        <w:jc w:val="both"/>
        <w:rPr>
          <w:lang w:val="ro-RO"/>
        </w:rPr>
      </w:pPr>
      <w:r w:rsidRPr="0023087C">
        <w:rPr>
          <w:lang w:val="ro-RO"/>
        </w:rPr>
        <w:t>Îmbunătățirea transparenței bugetare împreună și a accesului public la informația fiscală cheie, pentru a îmbunătăți accesul și claritatea cetățenilor referitoare la buget.</w:t>
      </w:r>
    </w:p>
    <w:p w:rsidR="001A0263" w:rsidRPr="0023087C" w:rsidRDefault="001A0263" w:rsidP="001A0263">
      <w:pPr>
        <w:numPr>
          <w:ilvl w:val="0"/>
          <w:numId w:val="45"/>
        </w:numPr>
        <w:spacing w:before="60"/>
        <w:ind w:left="1208" w:hanging="357"/>
        <w:jc w:val="both"/>
        <w:rPr>
          <w:lang w:val="ro-RO"/>
        </w:rPr>
      </w:pPr>
      <w:r w:rsidRPr="0023087C">
        <w:rPr>
          <w:lang w:val="ro-RO"/>
        </w:rPr>
        <w:t>Îmbunătățirea managementului trezoreriei pentru a asigura controlul efectiv al cheltuielilor, incluzînd  sisteme adecvate de contabilitate și raportare;</w:t>
      </w:r>
    </w:p>
    <w:p w:rsidR="001A0263" w:rsidRPr="0023087C" w:rsidRDefault="001A0263" w:rsidP="001A0263">
      <w:pPr>
        <w:numPr>
          <w:ilvl w:val="0"/>
          <w:numId w:val="45"/>
        </w:numPr>
        <w:autoSpaceDE w:val="0"/>
        <w:autoSpaceDN w:val="0"/>
        <w:adjustRightInd w:val="0"/>
        <w:spacing w:before="60"/>
        <w:ind w:left="1208" w:hanging="357"/>
        <w:jc w:val="both"/>
        <w:rPr>
          <w:lang w:val="ro-RO"/>
        </w:rPr>
      </w:pPr>
      <w:r w:rsidRPr="0023087C">
        <w:rPr>
          <w:lang w:val="ro-RO"/>
        </w:rPr>
        <w:t xml:space="preserve">Îmbunătățirea administrării datoriilor pentru a asigura costuri reduse de întreținere ale acestora și minimalizarea riscurilor fiscale; </w:t>
      </w:r>
    </w:p>
    <w:p w:rsidR="001A0263" w:rsidRPr="0023087C" w:rsidRDefault="001A0263" w:rsidP="001A0263">
      <w:pPr>
        <w:numPr>
          <w:ilvl w:val="0"/>
          <w:numId w:val="45"/>
        </w:numPr>
        <w:autoSpaceDE w:val="0"/>
        <w:autoSpaceDN w:val="0"/>
        <w:adjustRightInd w:val="0"/>
        <w:spacing w:before="60"/>
        <w:ind w:left="1208" w:hanging="357"/>
        <w:jc w:val="both"/>
        <w:rPr>
          <w:lang w:val="ro-RO"/>
        </w:rPr>
      </w:pPr>
      <w:r w:rsidRPr="0023087C">
        <w:rPr>
          <w:lang w:val="ro-RO"/>
        </w:rPr>
        <w:t xml:space="preserve">Îmbunătățirea mecanismelor de prioritizare a propunerilor de capital care să ia în considerare beneficiile economice și financiare a proiectelor; </w:t>
      </w:r>
    </w:p>
    <w:p w:rsidR="001A0263" w:rsidRPr="0023087C" w:rsidRDefault="001A0263" w:rsidP="001A0263">
      <w:pPr>
        <w:numPr>
          <w:ilvl w:val="0"/>
          <w:numId w:val="45"/>
        </w:numPr>
        <w:spacing w:before="60"/>
        <w:ind w:left="1208" w:hanging="357"/>
        <w:jc w:val="both"/>
        <w:rPr>
          <w:lang w:val="ro-RO"/>
        </w:rPr>
      </w:pPr>
      <w:r w:rsidRPr="0023087C">
        <w:rPr>
          <w:lang w:val="ro-RO"/>
        </w:rPr>
        <w:t xml:space="preserve">Îmbunătățirea capacităților MF pentru a participa efectiv în formularea și coordonarea implementării programelor de suport bugetar din partea UE; </w:t>
      </w:r>
    </w:p>
    <w:p w:rsidR="001A0263" w:rsidRPr="0023087C" w:rsidRDefault="001A0263" w:rsidP="001A0263">
      <w:pPr>
        <w:numPr>
          <w:ilvl w:val="0"/>
          <w:numId w:val="45"/>
        </w:numPr>
        <w:spacing w:before="60"/>
        <w:ind w:left="1208" w:hanging="357"/>
        <w:jc w:val="both"/>
        <w:rPr>
          <w:u w:val="single"/>
          <w:lang w:val="ro-RO"/>
        </w:rPr>
      </w:pPr>
      <w:r w:rsidRPr="0023087C">
        <w:rPr>
          <w:lang w:val="ro-RO"/>
        </w:rPr>
        <w:t>Îmbunătățirea capacităților Organizațiilor cu participarea Societății Civile/ONG locale pentru supravegherea bugetului și pentru dialogul cu acestea și participarea lor în chestiuni legate de administrarea economică și a managementului finanțelor publice.</w:t>
      </w:r>
    </w:p>
    <w:p w:rsidR="001A0263" w:rsidRPr="0023087C" w:rsidRDefault="001A0263" w:rsidP="001A0263">
      <w:pPr>
        <w:spacing w:before="60"/>
        <w:ind w:left="1208"/>
        <w:jc w:val="both"/>
        <w:rPr>
          <w:u w:val="single"/>
          <w:lang w:val="ro-RO"/>
        </w:rPr>
      </w:pPr>
      <w:r w:rsidRPr="0023087C">
        <w:rPr>
          <w:u w:val="single"/>
          <w:lang w:val="ro-RO"/>
        </w:rPr>
        <w:t xml:space="preserve"> </w:t>
      </w:r>
    </w:p>
    <w:p w:rsidR="001A0263" w:rsidRPr="0023087C" w:rsidRDefault="001A0263" w:rsidP="001A0263">
      <w:pPr>
        <w:spacing w:after="120"/>
        <w:jc w:val="both"/>
        <w:rPr>
          <w:b/>
          <w:lang w:val="ro-RO"/>
        </w:rPr>
      </w:pPr>
      <w:r w:rsidRPr="0023087C">
        <w:rPr>
          <w:b/>
          <w:lang w:val="ro-RO"/>
        </w:rPr>
        <w:t>1.3.</w:t>
      </w:r>
      <w:r w:rsidRPr="0023087C">
        <w:rPr>
          <w:b/>
          <w:lang w:val="ro-RO"/>
        </w:rPr>
        <w:tab/>
        <w:t xml:space="preserve">Activități de bază </w:t>
      </w:r>
    </w:p>
    <w:p w:rsidR="001A0263" w:rsidRPr="0023087C" w:rsidRDefault="001A0263" w:rsidP="001A0263">
      <w:pPr>
        <w:spacing w:before="120"/>
        <w:jc w:val="both"/>
        <w:rPr>
          <w:bCs/>
          <w:lang w:val="ro-RO"/>
        </w:rPr>
      </w:pPr>
      <w:r w:rsidRPr="0023087C">
        <w:rPr>
          <w:lang w:val="ro-RO"/>
        </w:rPr>
        <w:t>Activitățile de bază ce urmează a fi executate în cadrul structurii acestui SRC includ</w:t>
      </w:r>
      <w:r w:rsidRPr="0023087C">
        <w:rPr>
          <w:bCs/>
          <w:lang w:val="ro-RO"/>
        </w:rPr>
        <w:t>:</w:t>
      </w:r>
    </w:p>
    <w:p w:rsidR="001A0263" w:rsidRPr="0023087C" w:rsidRDefault="001A0263" w:rsidP="001A0263">
      <w:pPr>
        <w:numPr>
          <w:ilvl w:val="0"/>
          <w:numId w:val="45"/>
        </w:numPr>
        <w:spacing w:before="120"/>
        <w:ind w:left="1210"/>
        <w:jc w:val="both"/>
        <w:rPr>
          <w:lang w:val="ro-RO"/>
        </w:rPr>
      </w:pPr>
      <w:r w:rsidRPr="0023087C">
        <w:rPr>
          <w:lang w:val="ro-RO"/>
        </w:rPr>
        <w:t>Continuarea dialogului politic cu Guvernul cu un accent special pentru transparență și răspundere în managementul politicilor finanțelor publice;</w:t>
      </w:r>
    </w:p>
    <w:p w:rsidR="001A0263" w:rsidRPr="0023087C" w:rsidRDefault="001A0263" w:rsidP="001A0263">
      <w:pPr>
        <w:numPr>
          <w:ilvl w:val="0"/>
          <w:numId w:val="45"/>
        </w:numPr>
        <w:spacing w:before="120"/>
        <w:ind w:left="1210"/>
        <w:jc w:val="both"/>
        <w:rPr>
          <w:lang w:val="ro-RO"/>
        </w:rPr>
      </w:pPr>
      <w:r w:rsidRPr="0023087C">
        <w:rPr>
          <w:lang w:val="ro-RO"/>
        </w:rPr>
        <w:t>Monitorizarea regulată a criteriilor de eligibilitate pentru suport bugetar, pentru evoluția macroeconomică și a administrării finanțelor publice, transparența bugetară, precum și pentru procesul de implementare a politicilor publice;</w:t>
      </w:r>
    </w:p>
    <w:p w:rsidR="001A0263" w:rsidRPr="0023087C" w:rsidRDefault="001A0263" w:rsidP="001A0263">
      <w:pPr>
        <w:numPr>
          <w:ilvl w:val="0"/>
          <w:numId w:val="45"/>
        </w:numPr>
        <w:spacing w:before="120"/>
        <w:ind w:left="1210"/>
        <w:jc w:val="both"/>
        <w:rPr>
          <w:lang w:val="ro-RO"/>
        </w:rPr>
      </w:pPr>
      <w:r w:rsidRPr="0023087C">
        <w:rPr>
          <w:lang w:val="ro-RO"/>
        </w:rPr>
        <w:t>Transferul de fonturi în Bugetul Statului în conformitate cu rezultatele obținute din cadrul matricei de politici;</w:t>
      </w:r>
    </w:p>
    <w:p w:rsidR="001A0263" w:rsidRPr="0023087C" w:rsidRDefault="001A0263" w:rsidP="001A0263">
      <w:pPr>
        <w:numPr>
          <w:ilvl w:val="0"/>
          <w:numId w:val="45"/>
        </w:numPr>
        <w:spacing w:before="120"/>
        <w:ind w:left="1210"/>
        <w:jc w:val="both"/>
        <w:rPr>
          <w:lang w:val="ro-RO"/>
        </w:rPr>
      </w:pPr>
      <w:r w:rsidRPr="0023087C">
        <w:rPr>
          <w:lang w:val="ro-RO"/>
        </w:rPr>
        <w:t>Monitorizarea rezultatelor obiectivelor de reforme acceptate de Guvern prin intermediul revizuirilor, sesiunilor de informare regulate și a discuțiilor;</w:t>
      </w:r>
    </w:p>
    <w:p w:rsidR="001A0263" w:rsidRPr="0023087C" w:rsidRDefault="001A0263" w:rsidP="001A0263">
      <w:pPr>
        <w:numPr>
          <w:ilvl w:val="0"/>
          <w:numId w:val="45"/>
        </w:numPr>
        <w:spacing w:before="120"/>
        <w:ind w:left="1210"/>
        <w:jc w:val="both"/>
        <w:rPr>
          <w:lang w:val="ro-RO"/>
        </w:rPr>
      </w:pPr>
      <w:r w:rsidRPr="0023087C">
        <w:rPr>
          <w:lang w:val="ro-RO"/>
        </w:rPr>
        <w:lastRenderedPageBreak/>
        <w:t>Oferirea suportului complementar pentru a ajuta Guvernul la eforturile sale de a implementa reformele în politicile managementului  finanțelor publice.</w:t>
      </w:r>
    </w:p>
    <w:p w:rsidR="001A0263" w:rsidRPr="0023087C" w:rsidRDefault="001A0263" w:rsidP="001A0263">
      <w:pPr>
        <w:spacing w:before="120" w:after="120"/>
        <w:jc w:val="both"/>
        <w:rPr>
          <w:b/>
          <w:i/>
          <w:snapToGrid/>
          <w:lang w:val="ro-RO" w:eastAsia="zh-CN"/>
        </w:rPr>
      </w:pPr>
      <w:r w:rsidRPr="0023087C">
        <w:rPr>
          <w:b/>
          <w:i/>
          <w:snapToGrid/>
          <w:lang w:val="ro-RO" w:eastAsia="zh-CN"/>
        </w:rPr>
        <w:t>1.3.1.</w:t>
      </w:r>
      <w:r w:rsidRPr="0023087C">
        <w:rPr>
          <w:b/>
          <w:i/>
          <w:snapToGrid/>
          <w:lang w:val="ro-RO" w:eastAsia="zh-CN"/>
        </w:rPr>
        <w:tab/>
        <w:t xml:space="preserve"> Suport Bugetar </w:t>
      </w:r>
    </w:p>
    <w:p w:rsidR="001A0263" w:rsidRPr="0023087C" w:rsidRDefault="001A0263" w:rsidP="001A0263">
      <w:pPr>
        <w:spacing w:after="120"/>
        <w:jc w:val="both"/>
        <w:rPr>
          <w:lang w:val="ro-RO"/>
        </w:rPr>
      </w:pPr>
      <w:r w:rsidRPr="0023087C">
        <w:rPr>
          <w:lang w:val="ro-RO"/>
        </w:rPr>
        <w:t>Activitățile de bază ce urmează a fi executate în cadrul structurii componentei Suportului Bugetar a SRC includ:</w:t>
      </w:r>
    </w:p>
    <w:p w:rsidR="001A0263" w:rsidRPr="0023087C" w:rsidRDefault="001A0263" w:rsidP="001A0263">
      <w:pPr>
        <w:pStyle w:val="Text2"/>
        <w:numPr>
          <w:ilvl w:val="0"/>
          <w:numId w:val="46"/>
        </w:numPr>
        <w:spacing w:before="0"/>
        <w:rPr>
          <w:lang w:val="ro-RO"/>
        </w:rPr>
      </w:pPr>
      <w:r w:rsidRPr="0023087C">
        <w:rPr>
          <w:lang w:val="ro-RO"/>
        </w:rPr>
        <w:t>Implicarea în dialog politic legat de reformele finanțelor publice;</w:t>
      </w:r>
    </w:p>
    <w:p w:rsidR="001A0263" w:rsidRPr="0023087C" w:rsidRDefault="001A0263" w:rsidP="001A0263">
      <w:pPr>
        <w:pStyle w:val="Text2"/>
        <w:numPr>
          <w:ilvl w:val="0"/>
          <w:numId w:val="46"/>
        </w:numPr>
        <w:spacing w:before="0"/>
        <w:rPr>
          <w:lang w:val="ro-RO"/>
        </w:rPr>
      </w:pPr>
      <w:r w:rsidRPr="0023087C">
        <w:rPr>
          <w:lang w:val="ro-RO"/>
        </w:rPr>
        <w:t>Verificarea condițiilor și debursarea subsecventă a suportului bugetar în conformitate cu rezultatele obținute din cadrul matricei de politici.</w:t>
      </w:r>
    </w:p>
    <w:p w:rsidR="001A0263" w:rsidRPr="0023087C" w:rsidRDefault="001A0263" w:rsidP="001A0263">
      <w:pPr>
        <w:keepNext/>
        <w:spacing w:before="120" w:after="120"/>
        <w:jc w:val="both"/>
        <w:outlineLvl w:val="1"/>
        <w:rPr>
          <w:b/>
          <w:i/>
          <w:snapToGrid/>
          <w:lang w:val="ro-RO" w:eastAsia="zh-CN"/>
        </w:rPr>
      </w:pPr>
      <w:r w:rsidRPr="0023087C">
        <w:rPr>
          <w:b/>
          <w:i/>
          <w:snapToGrid/>
          <w:lang w:val="ro-RO" w:eastAsia="zh-CN"/>
        </w:rPr>
        <w:t>1.3.2.</w:t>
      </w:r>
      <w:r w:rsidRPr="0023087C">
        <w:rPr>
          <w:b/>
          <w:i/>
          <w:snapToGrid/>
          <w:lang w:val="ro-RO" w:eastAsia="zh-CN"/>
        </w:rPr>
        <w:tab/>
        <w:t xml:space="preserve"> Suport Complementar</w:t>
      </w:r>
    </w:p>
    <w:p w:rsidR="001A0263" w:rsidRPr="0023087C" w:rsidRDefault="001A0263" w:rsidP="001A0263">
      <w:pPr>
        <w:spacing w:before="120"/>
        <w:jc w:val="both"/>
        <w:rPr>
          <w:lang w:val="ro-RO"/>
        </w:rPr>
      </w:pPr>
      <w:r w:rsidRPr="0023087C">
        <w:rPr>
          <w:lang w:val="ro-RO"/>
        </w:rPr>
        <w:t>Activitățile de bază pentru a fi executate includ:</w:t>
      </w:r>
    </w:p>
    <w:p w:rsidR="001A0263" w:rsidRPr="0023087C" w:rsidRDefault="001A0263" w:rsidP="001A0263">
      <w:pPr>
        <w:pStyle w:val="Text2"/>
        <w:numPr>
          <w:ilvl w:val="0"/>
          <w:numId w:val="46"/>
        </w:numPr>
        <w:ind w:left="714" w:hanging="357"/>
        <w:rPr>
          <w:lang w:val="ro-RO"/>
        </w:rPr>
      </w:pPr>
      <w:r w:rsidRPr="0023087C">
        <w:rPr>
          <w:lang w:val="ro-RO"/>
        </w:rPr>
        <w:t>Granturi/Apel la Propuneri pentru a promova implicarea  Organizații cu implicarea Societății Civile/NGO în îmbunătățirea  administrării economice și a managementului finanțelor publice, dîndu-le acestora posibilitatea de a supraveghea bugetul și de participa la formularea și implementarea politicilor finanțelor publice;</w:t>
      </w:r>
    </w:p>
    <w:p w:rsidR="001A0263" w:rsidRPr="0023087C" w:rsidRDefault="001A0263" w:rsidP="001A0263">
      <w:pPr>
        <w:pStyle w:val="Text2"/>
        <w:numPr>
          <w:ilvl w:val="0"/>
          <w:numId w:val="46"/>
        </w:numPr>
        <w:ind w:left="714" w:hanging="357"/>
        <w:rPr>
          <w:lang w:val="ro-RO"/>
        </w:rPr>
      </w:pPr>
      <w:r w:rsidRPr="0023087C">
        <w:rPr>
          <w:lang w:val="ro-RO"/>
        </w:rPr>
        <w:t>Procurarea asistenței tehnice pentru Ministerul Finanțelor și pentru alte părți implicate pentru a acompania implementarea Contratului de Reformă. Asistența tehnică va fi folosită pentru colectarea datelor de verificarea a condițiilor de debursare;</w:t>
      </w:r>
    </w:p>
    <w:p w:rsidR="001A0263" w:rsidRPr="0023087C" w:rsidRDefault="001A0263" w:rsidP="001A0263">
      <w:pPr>
        <w:pStyle w:val="Text2"/>
        <w:numPr>
          <w:ilvl w:val="0"/>
          <w:numId w:val="46"/>
        </w:numPr>
        <w:spacing w:before="0"/>
        <w:rPr>
          <w:lang w:val="ro-RO"/>
        </w:rPr>
      </w:pPr>
      <w:r w:rsidRPr="0023087C">
        <w:rPr>
          <w:lang w:val="ro-RO"/>
        </w:rPr>
        <w:t>Procurarea misiunilor de evaluare și audit.</w:t>
      </w:r>
    </w:p>
    <w:p w:rsidR="001A0263" w:rsidRPr="0023087C" w:rsidRDefault="001A0263" w:rsidP="001A0263">
      <w:pPr>
        <w:pStyle w:val="Text2"/>
        <w:spacing w:before="0"/>
        <w:ind w:left="360"/>
        <w:rPr>
          <w:lang w:val="ro-RO"/>
        </w:rPr>
      </w:pPr>
    </w:p>
    <w:p w:rsidR="001A0263" w:rsidRPr="0023087C" w:rsidRDefault="001A0263" w:rsidP="001A0263">
      <w:pPr>
        <w:pStyle w:val="1"/>
        <w:tabs>
          <w:tab w:val="num" w:pos="0"/>
        </w:tabs>
        <w:rPr>
          <w:szCs w:val="24"/>
          <w:lang w:val="ro-RO"/>
        </w:rPr>
      </w:pPr>
      <w:r w:rsidRPr="0023087C">
        <w:rPr>
          <w:szCs w:val="24"/>
          <w:lang w:val="ro-RO"/>
        </w:rPr>
        <w:t xml:space="preserve">2. </w:t>
      </w:r>
      <w:r w:rsidRPr="0023087C">
        <w:rPr>
          <w:szCs w:val="24"/>
          <w:lang w:val="ro-RO"/>
        </w:rPr>
        <w:tab/>
        <w:t>Implementarea</w:t>
      </w:r>
    </w:p>
    <w:p w:rsidR="001A0263" w:rsidRPr="0023087C" w:rsidRDefault="001A0263" w:rsidP="001A0263">
      <w:pPr>
        <w:pStyle w:val="20"/>
        <w:tabs>
          <w:tab w:val="left" w:pos="0"/>
        </w:tabs>
        <w:ind w:left="720" w:hanging="720"/>
        <w:rPr>
          <w:szCs w:val="24"/>
          <w:lang w:val="ro-RO"/>
        </w:rPr>
      </w:pPr>
      <w:r w:rsidRPr="0023087C">
        <w:rPr>
          <w:szCs w:val="24"/>
          <w:lang w:val="ro-RO"/>
        </w:rPr>
        <w:t xml:space="preserve">2.1. </w:t>
      </w:r>
      <w:r w:rsidRPr="0023087C">
        <w:rPr>
          <w:szCs w:val="24"/>
          <w:lang w:val="ro-RO"/>
        </w:rPr>
        <w:tab/>
        <w:t>Perioada indicativă de implementare operațională</w:t>
      </w:r>
    </w:p>
    <w:p w:rsidR="001A0263" w:rsidRPr="0023087C" w:rsidRDefault="001A0263" w:rsidP="001A0263">
      <w:pPr>
        <w:pStyle w:val="Text2"/>
        <w:ind w:left="0"/>
        <w:rPr>
          <w:szCs w:val="24"/>
          <w:lang w:val="ro-RO"/>
        </w:rPr>
      </w:pPr>
      <w:r w:rsidRPr="0023087C">
        <w:rPr>
          <w:szCs w:val="24"/>
          <w:lang w:val="ro-RO"/>
        </w:rPr>
        <w:t>Perioada indicativă de implementare operațională  a acestei acțiuni este specificată în Articolul 2 a Condițiilor Speciale.</w:t>
      </w:r>
    </w:p>
    <w:p w:rsidR="001A0263" w:rsidRPr="0023087C" w:rsidRDefault="001A0263" w:rsidP="001A0263">
      <w:pPr>
        <w:pStyle w:val="Text2"/>
        <w:ind w:left="0"/>
        <w:rPr>
          <w:szCs w:val="24"/>
          <w:lang w:val="ro-RO"/>
        </w:rPr>
      </w:pPr>
      <w:r w:rsidRPr="0023087C">
        <w:rPr>
          <w:b/>
          <w:szCs w:val="24"/>
          <w:lang w:val="ro-RO"/>
        </w:rPr>
        <w:t>2.2.</w:t>
      </w:r>
      <w:r w:rsidRPr="0023087C">
        <w:rPr>
          <w:b/>
          <w:szCs w:val="24"/>
          <w:lang w:val="ro-RO"/>
        </w:rPr>
        <w:tab/>
        <w:t>Sumele alocate pentru suport bugetar</w:t>
      </w:r>
    </w:p>
    <w:p w:rsidR="001A0263" w:rsidRPr="0023087C" w:rsidRDefault="001A0263" w:rsidP="001A0263">
      <w:pPr>
        <w:autoSpaceDE w:val="0"/>
        <w:autoSpaceDN w:val="0"/>
        <w:adjustRightInd w:val="0"/>
        <w:jc w:val="both"/>
        <w:rPr>
          <w:lang w:val="ro-RO"/>
        </w:rPr>
      </w:pPr>
      <w:r w:rsidRPr="0023087C">
        <w:rPr>
          <w:lang w:val="ro-RO"/>
        </w:rPr>
        <w:t xml:space="preserve">Suma indicativă alocată pentru Aria de Prioritate I ”Reforma de Administrare Publică” a </w:t>
      </w:r>
      <w:r>
        <w:rPr>
          <w:lang w:val="ro-RO"/>
        </w:rPr>
        <w:t xml:space="preserve">Structurii de Suport Unice </w:t>
      </w:r>
      <w:r w:rsidRPr="0023087C">
        <w:rPr>
          <w:lang w:val="ro-RO"/>
        </w:rPr>
        <w:t>2014-2017 este de 30% alocația bilaterală totală pentru Moldova (variind de la 335,000,000 euro la 410,000,000euro).</w:t>
      </w:r>
    </w:p>
    <w:p w:rsidR="001A0263" w:rsidRPr="0023087C" w:rsidRDefault="001A0263" w:rsidP="001A0263">
      <w:pPr>
        <w:autoSpaceDE w:val="0"/>
        <w:autoSpaceDN w:val="0"/>
        <w:adjustRightInd w:val="0"/>
        <w:jc w:val="both"/>
        <w:rPr>
          <w:lang w:val="ro-RO"/>
        </w:rPr>
      </w:pPr>
      <w:r w:rsidRPr="0023087C">
        <w:rPr>
          <w:lang w:val="ro-RO"/>
        </w:rPr>
        <w:t xml:space="preserve">37 milioane euro din această sume urmează să fie acordată din prezentul program de suport bugetar. </w:t>
      </w:r>
    </w:p>
    <w:p w:rsidR="001A0263" w:rsidRPr="0023087C" w:rsidRDefault="001A0263" w:rsidP="001A0263">
      <w:pPr>
        <w:autoSpaceDE w:val="0"/>
        <w:autoSpaceDN w:val="0"/>
        <w:adjustRightInd w:val="0"/>
        <w:jc w:val="both"/>
        <w:rPr>
          <w:highlight w:val="yellow"/>
          <w:lang w:val="ro-RO"/>
        </w:rPr>
      </w:pPr>
    </w:p>
    <w:p w:rsidR="001A0263" w:rsidRPr="0023087C" w:rsidRDefault="001A0263" w:rsidP="001A0263">
      <w:pPr>
        <w:pStyle w:val="20"/>
        <w:tabs>
          <w:tab w:val="left" w:pos="851"/>
        </w:tabs>
        <w:ind w:left="851" w:hanging="851"/>
        <w:rPr>
          <w:b/>
          <w:szCs w:val="24"/>
          <w:lang w:val="ro-RO"/>
        </w:rPr>
      </w:pPr>
      <w:r w:rsidRPr="0023087C">
        <w:rPr>
          <w:szCs w:val="24"/>
          <w:lang w:val="ro-RO"/>
        </w:rPr>
        <w:t xml:space="preserve">2.3. </w:t>
      </w:r>
      <w:r w:rsidRPr="0023087C">
        <w:rPr>
          <w:szCs w:val="24"/>
          <w:lang w:val="ro-RO"/>
        </w:rPr>
        <w:tab/>
        <w:t>Criteriile și programul indicativ al debursărilor suportului bugetar</w:t>
      </w:r>
    </w:p>
    <w:p w:rsidR="001A0263" w:rsidRPr="0023087C" w:rsidRDefault="001A0263" w:rsidP="001A0263">
      <w:pPr>
        <w:spacing w:before="120"/>
        <w:jc w:val="both"/>
        <w:rPr>
          <w:lang w:val="ro-RO"/>
        </w:rPr>
      </w:pPr>
      <w:r w:rsidRPr="0023087C">
        <w:rPr>
          <w:lang w:val="ro-RO"/>
        </w:rPr>
        <w:t>Condițiile generale pentru debursarea tuturor tranșelor sunt: Progres satisfăcător în implementarea Strategiei de Dezvoltare Națională (NDS) Moldova 2020 și continuarea credibilității și relevanței acesteia; implementarea unei politici macroeconomice credibile și orientată spre stabilitate; progres satisfăcător în implementarea Strategiei de Dezvoltare a Managementului Finanțelor Publice 2013-2020; progres satisfăcător în legătură cu disponibilitatea informației bugetare cuprinzătoare, clare și în timp util.</w:t>
      </w:r>
    </w:p>
    <w:p w:rsidR="001A0263" w:rsidRPr="0023087C" w:rsidRDefault="001A0263" w:rsidP="001A0263">
      <w:pPr>
        <w:spacing w:before="120"/>
        <w:jc w:val="both"/>
        <w:rPr>
          <w:lang w:val="ro-RO"/>
        </w:rPr>
      </w:pPr>
      <w:r w:rsidRPr="0023087C">
        <w:rPr>
          <w:lang w:val="ro-RO"/>
        </w:rPr>
        <w:t xml:space="preserve">Nu este nici o Structură de Evaluare a Performanței atașată specific la Strategia de Dezvoltare Națională (NDS) care poate servi ca un document de monitorizare a politicilor publice în legătură cu obiectivele finanțelor publice specifice. Pentru programul de suport bugetar propus majoritatea condițiilor specifice și a ariilor de determinare a debursărilor diferitor tranșe este un rezultat al unui dialog politic continuu dintre UE și Guvernul Moldovei în legătură cu îmbunătățirea politicilor publice fiscale. </w:t>
      </w:r>
    </w:p>
    <w:p w:rsidR="001A0263" w:rsidRPr="0023087C" w:rsidRDefault="001A0263" w:rsidP="001A0263">
      <w:pPr>
        <w:spacing w:before="120"/>
        <w:jc w:val="both"/>
        <w:rPr>
          <w:lang w:val="ro-RO"/>
        </w:rPr>
      </w:pPr>
      <w:r w:rsidRPr="0023087C">
        <w:rPr>
          <w:lang w:val="ro-RO"/>
        </w:rPr>
        <w:t xml:space="preserve">Două condiții specifice sugerate de Guvern sunt legate de îmbunătățirea contabilității/raportării și a managementului datoriilor publice și derivă direct din Strategia de Dezvoltare a Managementului Finanțelor Publice 2013-2020. Deci, cu toate că punctele slabe identificate din aria Managementului </w:t>
      </w:r>
      <w:r w:rsidRPr="0023087C">
        <w:rPr>
          <w:lang w:val="ro-RO"/>
        </w:rPr>
        <w:lastRenderedPageBreak/>
        <w:t xml:space="preserve">Finanțelor Publice nu pot fi legate direct de condițiile specifice propuse, este o coerență deplină între obiectivele programului, diagnoza generală a problemei și a condițiilor și activităților alese.  </w:t>
      </w:r>
    </w:p>
    <w:p w:rsidR="001A0263" w:rsidRPr="0023087C" w:rsidRDefault="001A0263" w:rsidP="001A0263">
      <w:pPr>
        <w:spacing w:before="120"/>
        <w:jc w:val="both"/>
        <w:rPr>
          <w:lang w:val="ro-RO"/>
        </w:rPr>
      </w:pPr>
      <w:r w:rsidRPr="0023087C">
        <w:rPr>
          <w:lang w:val="ro-RO"/>
        </w:rPr>
        <w:t xml:space="preserve">Condițiile specifice se referă la activitățile legate de îmbunătățirea eficienței, efectivității, transparenței și răspunderii din cadrul finanțelor publice din Moldova și sunt implementate de       (i) Guvernul Republicii Moldova, și anume Ministerul Finanțelor;     (ii) Parlamentul Republicii Moldova și anume </w:t>
      </w:r>
      <w:r w:rsidRPr="0023087C">
        <w:rPr>
          <w:bCs/>
          <w:lang w:val="ro-RO"/>
        </w:rPr>
        <w:t>Comisia Economie, Buget și Finanțe</w:t>
      </w:r>
      <w:r w:rsidRPr="0023087C">
        <w:rPr>
          <w:lang w:val="ro-RO"/>
        </w:rPr>
        <w:t xml:space="preserve"> a acestuia     (iii) Curtea de Conturi, care este Instituția Supremă de Audit a Republicii Moldova. </w:t>
      </w:r>
    </w:p>
    <w:p w:rsidR="001A0263" w:rsidRPr="0023087C" w:rsidRDefault="001A0263" w:rsidP="001A0263">
      <w:pPr>
        <w:spacing w:before="120" w:after="240"/>
        <w:jc w:val="both"/>
        <w:rPr>
          <w:lang w:val="ro-RO"/>
        </w:rPr>
      </w:pPr>
      <w:r w:rsidRPr="0023087C">
        <w:rPr>
          <w:lang w:val="ro-RO"/>
        </w:rPr>
        <w:t xml:space="preserve">Programul indicativ al debursărilor este rezumat în tabelul de mai jos (toate numerele sunt în milioane de euro) bazate pe anul fiscal al țării partener: </w:t>
      </w:r>
    </w:p>
    <w:tbl>
      <w:tblPr>
        <w:tblW w:w="8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338"/>
        <w:gridCol w:w="358"/>
        <w:gridCol w:w="425"/>
        <w:gridCol w:w="371"/>
        <w:gridCol w:w="382"/>
        <w:gridCol w:w="381"/>
        <w:gridCol w:w="300"/>
        <w:gridCol w:w="409"/>
        <w:gridCol w:w="337"/>
        <w:gridCol w:w="277"/>
        <w:gridCol w:w="290"/>
        <w:gridCol w:w="400"/>
        <w:gridCol w:w="314"/>
        <w:gridCol w:w="411"/>
        <w:gridCol w:w="425"/>
        <w:gridCol w:w="410"/>
        <w:gridCol w:w="15"/>
        <w:gridCol w:w="857"/>
      </w:tblGrid>
      <w:tr w:rsidR="001A0263" w:rsidRPr="0023087C" w:rsidTr="001A0263">
        <w:trPr>
          <w:jc w:val="center"/>
        </w:trPr>
        <w:tc>
          <w:tcPr>
            <w:tcW w:w="1377" w:type="dxa"/>
            <w:shd w:val="clear" w:color="auto" w:fill="auto"/>
          </w:tcPr>
          <w:p w:rsidR="001A0263" w:rsidRPr="0023087C" w:rsidRDefault="001A0263" w:rsidP="001A0263">
            <w:pPr>
              <w:tabs>
                <w:tab w:val="left" w:pos="511"/>
              </w:tabs>
              <w:rPr>
                <w:lang w:val="ro-RO"/>
              </w:rPr>
            </w:pPr>
            <w:r w:rsidRPr="0023087C">
              <w:rPr>
                <w:lang w:val="ro-RO"/>
              </w:rPr>
              <w:t>Anul fiscal al țării</w:t>
            </w:r>
          </w:p>
        </w:tc>
        <w:tc>
          <w:tcPr>
            <w:tcW w:w="1492" w:type="dxa"/>
            <w:gridSpan w:val="4"/>
            <w:shd w:val="clear" w:color="auto" w:fill="auto"/>
            <w:vAlign w:val="center"/>
          </w:tcPr>
          <w:p w:rsidR="001A0263" w:rsidRPr="0023087C" w:rsidRDefault="001A0263" w:rsidP="001A0263">
            <w:pPr>
              <w:tabs>
                <w:tab w:val="left" w:pos="511"/>
              </w:tabs>
              <w:jc w:val="center"/>
              <w:rPr>
                <w:b/>
                <w:sz w:val="22"/>
                <w:szCs w:val="22"/>
                <w:lang w:val="ro-RO"/>
              </w:rPr>
            </w:pPr>
            <w:r w:rsidRPr="0023087C">
              <w:rPr>
                <w:b/>
                <w:sz w:val="22"/>
                <w:szCs w:val="22"/>
                <w:lang w:val="ro-RO"/>
              </w:rPr>
              <w:t>2014</w:t>
            </w:r>
          </w:p>
        </w:tc>
        <w:tc>
          <w:tcPr>
            <w:tcW w:w="1472" w:type="dxa"/>
            <w:gridSpan w:val="4"/>
            <w:shd w:val="clear" w:color="auto" w:fill="auto"/>
            <w:vAlign w:val="center"/>
          </w:tcPr>
          <w:p w:rsidR="001A0263" w:rsidRPr="0023087C" w:rsidRDefault="001A0263" w:rsidP="001A0263">
            <w:pPr>
              <w:tabs>
                <w:tab w:val="left" w:pos="511"/>
              </w:tabs>
              <w:jc w:val="center"/>
              <w:rPr>
                <w:b/>
                <w:sz w:val="22"/>
                <w:szCs w:val="22"/>
                <w:lang w:val="ro-RO"/>
              </w:rPr>
            </w:pPr>
            <w:r w:rsidRPr="0023087C">
              <w:rPr>
                <w:b/>
                <w:sz w:val="22"/>
                <w:szCs w:val="22"/>
                <w:lang w:val="ro-RO"/>
              </w:rPr>
              <w:t>2016</w:t>
            </w:r>
          </w:p>
        </w:tc>
        <w:tc>
          <w:tcPr>
            <w:tcW w:w="1304" w:type="dxa"/>
            <w:gridSpan w:val="4"/>
            <w:shd w:val="clear" w:color="auto" w:fill="auto"/>
            <w:vAlign w:val="center"/>
          </w:tcPr>
          <w:p w:rsidR="001A0263" w:rsidRPr="0023087C" w:rsidRDefault="001A0263" w:rsidP="001A0263">
            <w:pPr>
              <w:tabs>
                <w:tab w:val="left" w:pos="511"/>
              </w:tabs>
              <w:jc w:val="center"/>
              <w:rPr>
                <w:b/>
                <w:sz w:val="22"/>
                <w:szCs w:val="22"/>
                <w:lang w:val="ro-RO"/>
              </w:rPr>
            </w:pPr>
            <w:r w:rsidRPr="0023087C">
              <w:rPr>
                <w:b/>
                <w:sz w:val="22"/>
                <w:szCs w:val="22"/>
                <w:lang w:val="ro-RO"/>
              </w:rPr>
              <w:t>2017</w:t>
            </w:r>
          </w:p>
        </w:tc>
        <w:tc>
          <w:tcPr>
            <w:tcW w:w="1560" w:type="dxa"/>
            <w:gridSpan w:val="4"/>
            <w:vAlign w:val="center"/>
          </w:tcPr>
          <w:p w:rsidR="001A0263" w:rsidRPr="0023087C" w:rsidRDefault="001A0263" w:rsidP="001A0263">
            <w:pPr>
              <w:tabs>
                <w:tab w:val="left" w:pos="511"/>
              </w:tabs>
              <w:jc w:val="center"/>
              <w:rPr>
                <w:b/>
                <w:sz w:val="22"/>
                <w:szCs w:val="22"/>
                <w:lang w:val="ro-RO"/>
              </w:rPr>
            </w:pPr>
            <w:r w:rsidRPr="0023087C">
              <w:rPr>
                <w:b/>
                <w:sz w:val="22"/>
                <w:szCs w:val="22"/>
                <w:lang w:val="ro-RO"/>
              </w:rPr>
              <w:t>2018</w:t>
            </w:r>
          </w:p>
        </w:tc>
        <w:tc>
          <w:tcPr>
            <w:tcW w:w="872" w:type="dxa"/>
            <w:gridSpan w:val="2"/>
          </w:tcPr>
          <w:p w:rsidR="001A0263" w:rsidRPr="0023087C" w:rsidRDefault="001A0263" w:rsidP="001A0263">
            <w:pPr>
              <w:tabs>
                <w:tab w:val="left" w:pos="511"/>
              </w:tabs>
              <w:jc w:val="both"/>
              <w:rPr>
                <w:sz w:val="22"/>
                <w:szCs w:val="22"/>
                <w:lang w:val="ro-RO"/>
              </w:rPr>
            </w:pPr>
          </w:p>
        </w:tc>
      </w:tr>
      <w:tr w:rsidR="001A0263" w:rsidRPr="0023087C" w:rsidTr="001A0263">
        <w:trPr>
          <w:jc w:val="center"/>
        </w:trPr>
        <w:tc>
          <w:tcPr>
            <w:tcW w:w="1377" w:type="dxa"/>
            <w:shd w:val="clear" w:color="auto" w:fill="auto"/>
          </w:tcPr>
          <w:p w:rsidR="001A0263" w:rsidRPr="0023087C" w:rsidRDefault="001A0263" w:rsidP="001A0263">
            <w:pPr>
              <w:tabs>
                <w:tab w:val="left" w:pos="511"/>
              </w:tabs>
              <w:rPr>
                <w:lang w:val="ro-RO"/>
              </w:rPr>
            </w:pPr>
            <w:r w:rsidRPr="0023087C">
              <w:rPr>
                <w:lang w:val="ro-RO"/>
              </w:rPr>
              <w:t>Tipul tranșei</w:t>
            </w:r>
          </w:p>
        </w:tc>
        <w:tc>
          <w:tcPr>
            <w:tcW w:w="338" w:type="dxa"/>
            <w:shd w:val="clear" w:color="auto" w:fill="auto"/>
          </w:tcPr>
          <w:p w:rsidR="001A0263" w:rsidRPr="0023087C" w:rsidRDefault="001A0263" w:rsidP="001A0263">
            <w:pPr>
              <w:tabs>
                <w:tab w:val="left" w:pos="511"/>
              </w:tabs>
              <w:jc w:val="center"/>
              <w:rPr>
                <w:lang w:val="ro-RO"/>
              </w:rPr>
            </w:pPr>
            <w:r w:rsidRPr="0023087C">
              <w:rPr>
                <w:lang w:val="ro-RO"/>
              </w:rPr>
              <w:t>T1</w:t>
            </w:r>
          </w:p>
        </w:tc>
        <w:tc>
          <w:tcPr>
            <w:tcW w:w="358" w:type="dxa"/>
            <w:shd w:val="clear" w:color="auto" w:fill="auto"/>
          </w:tcPr>
          <w:p w:rsidR="001A0263" w:rsidRPr="0023087C" w:rsidRDefault="001A0263" w:rsidP="001A0263">
            <w:pPr>
              <w:tabs>
                <w:tab w:val="left" w:pos="511"/>
              </w:tabs>
              <w:jc w:val="center"/>
              <w:rPr>
                <w:lang w:val="ro-RO"/>
              </w:rPr>
            </w:pPr>
            <w:r w:rsidRPr="0023087C">
              <w:rPr>
                <w:lang w:val="ro-RO"/>
              </w:rPr>
              <w:t>T2</w:t>
            </w:r>
          </w:p>
        </w:tc>
        <w:tc>
          <w:tcPr>
            <w:tcW w:w="425" w:type="dxa"/>
            <w:shd w:val="clear" w:color="auto" w:fill="auto"/>
          </w:tcPr>
          <w:p w:rsidR="001A0263" w:rsidRPr="0023087C" w:rsidRDefault="001A0263" w:rsidP="001A0263">
            <w:pPr>
              <w:tabs>
                <w:tab w:val="left" w:pos="511"/>
              </w:tabs>
              <w:jc w:val="center"/>
              <w:rPr>
                <w:lang w:val="ro-RO"/>
              </w:rPr>
            </w:pPr>
            <w:r w:rsidRPr="0023087C">
              <w:rPr>
                <w:lang w:val="ro-RO"/>
              </w:rPr>
              <w:t>T3</w:t>
            </w:r>
          </w:p>
        </w:tc>
        <w:tc>
          <w:tcPr>
            <w:tcW w:w="371" w:type="dxa"/>
            <w:shd w:val="clear" w:color="auto" w:fill="auto"/>
          </w:tcPr>
          <w:p w:rsidR="001A0263" w:rsidRPr="0023087C" w:rsidRDefault="001A0263" w:rsidP="001A0263">
            <w:pPr>
              <w:tabs>
                <w:tab w:val="left" w:pos="511"/>
              </w:tabs>
              <w:jc w:val="center"/>
              <w:rPr>
                <w:lang w:val="ro-RO"/>
              </w:rPr>
            </w:pPr>
            <w:r w:rsidRPr="0023087C">
              <w:rPr>
                <w:lang w:val="ro-RO"/>
              </w:rPr>
              <w:t>T4</w:t>
            </w:r>
          </w:p>
        </w:tc>
        <w:tc>
          <w:tcPr>
            <w:tcW w:w="382" w:type="dxa"/>
            <w:shd w:val="clear" w:color="auto" w:fill="auto"/>
          </w:tcPr>
          <w:p w:rsidR="001A0263" w:rsidRPr="0023087C" w:rsidRDefault="001A0263" w:rsidP="001A0263">
            <w:pPr>
              <w:tabs>
                <w:tab w:val="left" w:pos="511"/>
              </w:tabs>
              <w:jc w:val="center"/>
              <w:rPr>
                <w:lang w:val="ro-RO"/>
              </w:rPr>
            </w:pPr>
            <w:r w:rsidRPr="0023087C">
              <w:rPr>
                <w:lang w:val="ro-RO"/>
              </w:rPr>
              <w:t>T1</w:t>
            </w:r>
          </w:p>
        </w:tc>
        <w:tc>
          <w:tcPr>
            <w:tcW w:w="381" w:type="dxa"/>
            <w:shd w:val="clear" w:color="auto" w:fill="auto"/>
          </w:tcPr>
          <w:p w:rsidR="001A0263" w:rsidRPr="0023087C" w:rsidRDefault="001A0263" w:rsidP="001A0263">
            <w:pPr>
              <w:tabs>
                <w:tab w:val="left" w:pos="511"/>
              </w:tabs>
              <w:jc w:val="center"/>
              <w:rPr>
                <w:lang w:val="ro-RO"/>
              </w:rPr>
            </w:pPr>
            <w:r w:rsidRPr="0023087C">
              <w:rPr>
                <w:lang w:val="ro-RO"/>
              </w:rPr>
              <w:t>T2</w:t>
            </w:r>
          </w:p>
        </w:tc>
        <w:tc>
          <w:tcPr>
            <w:tcW w:w="300" w:type="dxa"/>
            <w:shd w:val="clear" w:color="auto" w:fill="auto"/>
          </w:tcPr>
          <w:p w:rsidR="001A0263" w:rsidRPr="0023087C" w:rsidRDefault="001A0263" w:rsidP="001A0263">
            <w:pPr>
              <w:tabs>
                <w:tab w:val="left" w:pos="511"/>
              </w:tabs>
              <w:jc w:val="center"/>
              <w:rPr>
                <w:lang w:val="ro-RO"/>
              </w:rPr>
            </w:pPr>
            <w:r w:rsidRPr="0023087C">
              <w:rPr>
                <w:lang w:val="ro-RO"/>
              </w:rPr>
              <w:t>T3</w:t>
            </w:r>
          </w:p>
        </w:tc>
        <w:tc>
          <w:tcPr>
            <w:tcW w:w="409" w:type="dxa"/>
            <w:shd w:val="clear" w:color="auto" w:fill="auto"/>
          </w:tcPr>
          <w:p w:rsidR="001A0263" w:rsidRPr="0023087C" w:rsidRDefault="001A0263" w:rsidP="001A0263">
            <w:pPr>
              <w:tabs>
                <w:tab w:val="left" w:pos="511"/>
              </w:tabs>
              <w:jc w:val="center"/>
              <w:rPr>
                <w:lang w:val="ro-RO"/>
              </w:rPr>
            </w:pPr>
            <w:r w:rsidRPr="0023087C">
              <w:rPr>
                <w:lang w:val="ro-RO"/>
              </w:rPr>
              <w:t>T4</w:t>
            </w:r>
          </w:p>
        </w:tc>
        <w:tc>
          <w:tcPr>
            <w:tcW w:w="337" w:type="dxa"/>
            <w:shd w:val="clear" w:color="auto" w:fill="auto"/>
          </w:tcPr>
          <w:p w:rsidR="001A0263" w:rsidRPr="0023087C" w:rsidRDefault="001A0263" w:rsidP="001A0263">
            <w:pPr>
              <w:tabs>
                <w:tab w:val="left" w:pos="511"/>
              </w:tabs>
              <w:jc w:val="center"/>
              <w:rPr>
                <w:lang w:val="ro-RO"/>
              </w:rPr>
            </w:pPr>
            <w:r w:rsidRPr="0023087C">
              <w:rPr>
                <w:lang w:val="ro-RO"/>
              </w:rPr>
              <w:t>T1</w:t>
            </w:r>
          </w:p>
        </w:tc>
        <w:tc>
          <w:tcPr>
            <w:tcW w:w="277" w:type="dxa"/>
            <w:shd w:val="clear" w:color="auto" w:fill="auto"/>
          </w:tcPr>
          <w:p w:rsidR="001A0263" w:rsidRPr="0023087C" w:rsidRDefault="001A0263" w:rsidP="001A0263">
            <w:pPr>
              <w:tabs>
                <w:tab w:val="left" w:pos="511"/>
              </w:tabs>
              <w:jc w:val="center"/>
              <w:rPr>
                <w:lang w:val="ro-RO"/>
              </w:rPr>
            </w:pPr>
            <w:r w:rsidRPr="0023087C">
              <w:rPr>
                <w:lang w:val="ro-RO"/>
              </w:rPr>
              <w:t>T2</w:t>
            </w:r>
          </w:p>
        </w:tc>
        <w:tc>
          <w:tcPr>
            <w:tcW w:w="290" w:type="dxa"/>
            <w:shd w:val="clear" w:color="auto" w:fill="auto"/>
          </w:tcPr>
          <w:p w:rsidR="001A0263" w:rsidRPr="0023087C" w:rsidRDefault="001A0263" w:rsidP="001A0263">
            <w:pPr>
              <w:tabs>
                <w:tab w:val="left" w:pos="511"/>
              </w:tabs>
              <w:jc w:val="center"/>
              <w:rPr>
                <w:lang w:val="ro-RO"/>
              </w:rPr>
            </w:pPr>
            <w:r w:rsidRPr="0023087C">
              <w:rPr>
                <w:lang w:val="ro-RO"/>
              </w:rPr>
              <w:t>T3</w:t>
            </w:r>
          </w:p>
        </w:tc>
        <w:tc>
          <w:tcPr>
            <w:tcW w:w="400" w:type="dxa"/>
            <w:shd w:val="clear" w:color="auto" w:fill="auto"/>
          </w:tcPr>
          <w:p w:rsidR="001A0263" w:rsidRPr="0023087C" w:rsidRDefault="001A0263" w:rsidP="001A0263">
            <w:pPr>
              <w:tabs>
                <w:tab w:val="left" w:pos="511"/>
              </w:tabs>
              <w:jc w:val="center"/>
              <w:rPr>
                <w:lang w:val="ro-RO"/>
              </w:rPr>
            </w:pPr>
            <w:r w:rsidRPr="0023087C">
              <w:rPr>
                <w:lang w:val="ro-RO"/>
              </w:rPr>
              <w:t>T4</w:t>
            </w:r>
          </w:p>
        </w:tc>
        <w:tc>
          <w:tcPr>
            <w:tcW w:w="314" w:type="dxa"/>
          </w:tcPr>
          <w:p w:rsidR="001A0263" w:rsidRPr="0023087C" w:rsidRDefault="001A0263" w:rsidP="001A0263">
            <w:pPr>
              <w:tabs>
                <w:tab w:val="left" w:pos="511"/>
              </w:tabs>
              <w:jc w:val="center"/>
              <w:rPr>
                <w:lang w:val="ro-RO"/>
              </w:rPr>
            </w:pPr>
            <w:r w:rsidRPr="0023087C">
              <w:rPr>
                <w:lang w:val="ro-RO"/>
              </w:rPr>
              <w:t>T1</w:t>
            </w:r>
          </w:p>
        </w:tc>
        <w:tc>
          <w:tcPr>
            <w:tcW w:w="411" w:type="dxa"/>
          </w:tcPr>
          <w:p w:rsidR="001A0263" w:rsidRPr="0023087C" w:rsidRDefault="001A0263" w:rsidP="001A0263">
            <w:pPr>
              <w:tabs>
                <w:tab w:val="left" w:pos="511"/>
              </w:tabs>
              <w:jc w:val="center"/>
              <w:rPr>
                <w:lang w:val="ro-RO"/>
              </w:rPr>
            </w:pPr>
            <w:r w:rsidRPr="0023087C">
              <w:rPr>
                <w:lang w:val="ro-RO"/>
              </w:rPr>
              <w:t>T2</w:t>
            </w:r>
          </w:p>
        </w:tc>
        <w:tc>
          <w:tcPr>
            <w:tcW w:w="425" w:type="dxa"/>
            <w:shd w:val="clear" w:color="auto" w:fill="auto"/>
          </w:tcPr>
          <w:p w:rsidR="001A0263" w:rsidRPr="0023087C" w:rsidRDefault="001A0263" w:rsidP="001A0263">
            <w:pPr>
              <w:tabs>
                <w:tab w:val="left" w:pos="511"/>
              </w:tabs>
              <w:jc w:val="center"/>
              <w:rPr>
                <w:lang w:val="ro-RO"/>
              </w:rPr>
            </w:pPr>
            <w:r w:rsidRPr="0023087C">
              <w:rPr>
                <w:lang w:val="ro-RO"/>
              </w:rPr>
              <w:t>T3</w:t>
            </w:r>
          </w:p>
        </w:tc>
        <w:tc>
          <w:tcPr>
            <w:tcW w:w="425" w:type="dxa"/>
            <w:gridSpan w:val="2"/>
          </w:tcPr>
          <w:p w:rsidR="001A0263" w:rsidRPr="0023087C" w:rsidRDefault="001A0263" w:rsidP="001A0263">
            <w:pPr>
              <w:tabs>
                <w:tab w:val="left" w:pos="511"/>
              </w:tabs>
              <w:jc w:val="center"/>
              <w:rPr>
                <w:lang w:val="ro-RO"/>
              </w:rPr>
            </w:pPr>
            <w:r w:rsidRPr="0023087C">
              <w:rPr>
                <w:lang w:val="ro-RO"/>
              </w:rPr>
              <w:t>T4</w:t>
            </w:r>
          </w:p>
        </w:tc>
        <w:tc>
          <w:tcPr>
            <w:tcW w:w="857" w:type="dxa"/>
          </w:tcPr>
          <w:p w:rsidR="001A0263" w:rsidRPr="0023087C" w:rsidRDefault="001A0263" w:rsidP="001A0263">
            <w:pPr>
              <w:tabs>
                <w:tab w:val="left" w:pos="511"/>
              </w:tabs>
              <w:jc w:val="center"/>
              <w:rPr>
                <w:lang w:val="ro-RO"/>
              </w:rPr>
            </w:pPr>
            <w:r w:rsidRPr="0023087C">
              <w:rPr>
                <w:lang w:val="ro-RO"/>
              </w:rPr>
              <w:t>Total</w:t>
            </w:r>
          </w:p>
        </w:tc>
      </w:tr>
      <w:tr w:rsidR="001A0263" w:rsidRPr="0023087C" w:rsidTr="001A0263">
        <w:trPr>
          <w:trHeight w:val="326"/>
          <w:jc w:val="center"/>
        </w:trPr>
        <w:tc>
          <w:tcPr>
            <w:tcW w:w="1377" w:type="dxa"/>
            <w:shd w:val="clear" w:color="auto" w:fill="auto"/>
          </w:tcPr>
          <w:p w:rsidR="001A0263" w:rsidRPr="0023087C" w:rsidRDefault="001A0263" w:rsidP="001A0263">
            <w:pPr>
              <w:tabs>
                <w:tab w:val="left" w:pos="511"/>
              </w:tabs>
              <w:rPr>
                <w:lang w:val="ro-RO"/>
              </w:rPr>
            </w:pPr>
            <w:r w:rsidRPr="0023087C">
              <w:rPr>
                <w:lang w:val="ro-RO"/>
              </w:rPr>
              <w:t>Tranșă de bază</w:t>
            </w:r>
          </w:p>
        </w:tc>
        <w:tc>
          <w:tcPr>
            <w:tcW w:w="338" w:type="dxa"/>
            <w:shd w:val="clear" w:color="auto" w:fill="auto"/>
          </w:tcPr>
          <w:p w:rsidR="001A0263" w:rsidRPr="0023087C" w:rsidRDefault="001A0263" w:rsidP="001A0263">
            <w:pPr>
              <w:tabs>
                <w:tab w:val="left" w:pos="511"/>
              </w:tabs>
              <w:jc w:val="both"/>
              <w:rPr>
                <w:sz w:val="22"/>
                <w:szCs w:val="22"/>
                <w:lang w:val="ro-RO"/>
              </w:rPr>
            </w:pPr>
          </w:p>
        </w:tc>
        <w:tc>
          <w:tcPr>
            <w:tcW w:w="358" w:type="dxa"/>
            <w:shd w:val="clear" w:color="auto" w:fill="auto"/>
          </w:tcPr>
          <w:p w:rsidR="001A0263" w:rsidRPr="0023087C" w:rsidRDefault="001A0263" w:rsidP="001A0263">
            <w:pPr>
              <w:tabs>
                <w:tab w:val="left" w:pos="511"/>
              </w:tabs>
              <w:jc w:val="both"/>
              <w:rPr>
                <w:sz w:val="22"/>
                <w:szCs w:val="22"/>
                <w:lang w:val="ro-RO"/>
              </w:rPr>
            </w:pPr>
          </w:p>
        </w:tc>
        <w:tc>
          <w:tcPr>
            <w:tcW w:w="425" w:type="dxa"/>
            <w:shd w:val="clear" w:color="auto" w:fill="auto"/>
          </w:tcPr>
          <w:p w:rsidR="001A0263" w:rsidRPr="0023087C" w:rsidRDefault="001A0263" w:rsidP="001A0263">
            <w:pPr>
              <w:tabs>
                <w:tab w:val="left" w:pos="511"/>
              </w:tabs>
              <w:jc w:val="both"/>
              <w:rPr>
                <w:sz w:val="22"/>
                <w:szCs w:val="22"/>
                <w:lang w:val="ro-RO"/>
              </w:rPr>
            </w:pPr>
          </w:p>
        </w:tc>
        <w:tc>
          <w:tcPr>
            <w:tcW w:w="371" w:type="dxa"/>
            <w:shd w:val="clear" w:color="auto" w:fill="auto"/>
          </w:tcPr>
          <w:p w:rsidR="001A0263" w:rsidRPr="0023087C" w:rsidRDefault="001A0263" w:rsidP="001A0263">
            <w:pPr>
              <w:tabs>
                <w:tab w:val="left" w:pos="511"/>
              </w:tabs>
              <w:jc w:val="both"/>
              <w:rPr>
                <w:sz w:val="22"/>
                <w:szCs w:val="22"/>
                <w:lang w:val="ro-RO"/>
              </w:rPr>
            </w:pPr>
            <w:r w:rsidRPr="0023087C">
              <w:rPr>
                <w:sz w:val="22"/>
                <w:szCs w:val="22"/>
                <w:lang w:val="ro-RO"/>
              </w:rPr>
              <w:t>8</w:t>
            </w:r>
          </w:p>
        </w:tc>
        <w:tc>
          <w:tcPr>
            <w:tcW w:w="382" w:type="dxa"/>
            <w:shd w:val="clear" w:color="auto" w:fill="auto"/>
          </w:tcPr>
          <w:p w:rsidR="001A0263" w:rsidRPr="0023087C" w:rsidRDefault="001A0263" w:rsidP="001A0263">
            <w:pPr>
              <w:tabs>
                <w:tab w:val="left" w:pos="511"/>
              </w:tabs>
              <w:jc w:val="both"/>
              <w:rPr>
                <w:sz w:val="22"/>
                <w:szCs w:val="22"/>
                <w:lang w:val="ro-RO"/>
              </w:rPr>
            </w:pPr>
          </w:p>
        </w:tc>
        <w:tc>
          <w:tcPr>
            <w:tcW w:w="381" w:type="dxa"/>
            <w:shd w:val="clear" w:color="auto" w:fill="auto"/>
          </w:tcPr>
          <w:p w:rsidR="001A0263" w:rsidRPr="0023087C" w:rsidRDefault="001A0263" w:rsidP="001A0263">
            <w:pPr>
              <w:tabs>
                <w:tab w:val="left" w:pos="511"/>
              </w:tabs>
              <w:jc w:val="both"/>
              <w:rPr>
                <w:sz w:val="22"/>
                <w:szCs w:val="22"/>
                <w:lang w:val="ro-RO"/>
              </w:rPr>
            </w:pPr>
          </w:p>
        </w:tc>
        <w:tc>
          <w:tcPr>
            <w:tcW w:w="300" w:type="dxa"/>
            <w:shd w:val="clear" w:color="auto" w:fill="auto"/>
          </w:tcPr>
          <w:p w:rsidR="001A0263" w:rsidRPr="0023087C" w:rsidRDefault="001A0263" w:rsidP="001A0263">
            <w:pPr>
              <w:tabs>
                <w:tab w:val="left" w:pos="511"/>
              </w:tabs>
              <w:jc w:val="both"/>
              <w:rPr>
                <w:sz w:val="22"/>
                <w:szCs w:val="22"/>
                <w:lang w:val="ro-RO"/>
              </w:rPr>
            </w:pPr>
          </w:p>
        </w:tc>
        <w:tc>
          <w:tcPr>
            <w:tcW w:w="409" w:type="dxa"/>
            <w:shd w:val="clear" w:color="auto" w:fill="auto"/>
          </w:tcPr>
          <w:p w:rsidR="001A0263" w:rsidRPr="0023087C" w:rsidRDefault="001A0263" w:rsidP="001A0263">
            <w:pPr>
              <w:tabs>
                <w:tab w:val="left" w:pos="511"/>
              </w:tabs>
              <w:jc w:val="both"/>
              <w:rPr>
                <w:sz w:val="22"/>
                <w:szCs w:val="22"/>
                <w:lang w:val="ro-RO"/>
              </w:rPr>
            </w:pPr>
          </w:p>
        </w:tc>
        <w:tc>
          <w:tcPr>
            <w:tcW w:w="337" w:type="dxa"/>
            <w:shd w:val="clear" w:color="auto" w:fill="auto"/>
          </w:tcPr>
          <w:p w:rsidR="001A0263" w:rsidRPr="0023087C" w:rsidRDefault="001A0263" w:rsidP="001A0263">
            <w:pPr>
              <w:tabs>
                <w:tab w:val="left" w:pos="511"/>
              </w:tabs>
              <w:jc w:val="both"/>
              <w:rPr>
                <w:sz w:val="22"/>
                <w:szCs w:val="22"/>
                <w:lang w:val="ro-RO"/>
              </w:rPr>
            </w:pPr>
          </w:p>
        </w:tc>
        <w:tc>
          <w:tcPr>
            <w:tcW w:w="277" w:type="dxa"/>
            <w:shd w:val="clear" w:color="auto" w:fill="auto"/>
          </w:tcPr>
          <w:p w:rsidR="001A0263" w:rsidRPr="0023087C" w:rsidRDefault="001A0263" w:rsidP="001A0263">
            <w:pPr>
              <w:tabs>
                <w:tab w:val="left" w:pos="511"/>
              </w:tabs>
              <w:jc w:val="both"/>
              <w:rPr>
                <w:sz w:val="22"/>
                <w:szCs w:val="22"/>
                <w:lang w:val="ro-RO"/>
              </w:rPr>
            </w:pPr>
          </w:p>
        </w:tc>
        <w:tc>
          <w:tcPr>
            <w:tcW w:w="290" w:type="dxa"/>
            <w:shd w:val="clear" w:color="auto" w:fill="auto"/>
          </w:tcPr>
          <w:p w:rsidR="001A0263" w:rsidRPr="0023087C" w:rsidRDefault="001A0263" w:rsidP="001A0263">
            <w:pPr>
              <w:tabs>
                <w:tab w:val="left" w:pos="511"/>
              </w:tabs>
              <w:jc w:val="both"/>
              <w:rPr>
                <w:sz w:val="22"/>
                <w:szCs w:val="22"/>
                <w:lang w:val="ro-RO"/>
              </w:rPr>
            </w:pPr>
          </w:p>
        </w:tc>
        <w:tc>
          <w:tcPr>
            <w:tcW w:w="400" w:type="dxa"/>
            <w:shd w:val="clear" w:color="auto" w:fill="auto"/>
          </w:tcPr>
          <w:p w:rsidR="001A0263" w:rsidRPr="0023087C" w:rsidRDefault="001A0263" w:rsidP="001A0263">
            <w:pPr>
              <w:tabs>
                <w:tab w:val="left" w:pos="511"/>
              </w:tabs>
              <w:jc w:val="both"/>
              <w:rPr>
                <w:sz w:val="22"/>
                <w:szCs w:val="22"/>
                <w:lang w:val="ro-RO"/>
              </w:rPr>
            </w:pPr>
          </w:p>
        </w:tc>
        <w:tc>
          <w:tcPr>
            <w:tcW w:w="314" w:type="dxa"/>
          </w:tcPr>
          <w:p w:rsidR="001A0263" w:rsidRPr="0023087C" w:rsidRDefault="001A0263" w:rsidP="001A0263">
            <w:pPr>
              <w:tabs>
                <w:tab w:val="left" w:pos="511"/>
              </w:tabs>
              <w:jc w:val="both"/>
              <w:rPr>
                <w:sz w:val="22"/>
                <w:szCs w:val="22"/>
                <w:lang w:val="ro-RO"/>
              </w:rPr>
            </w:pPr>
          </w:p>
        </w:tc>
        <w:tc>
          <w:tcPr>
            <w:tcW w:w="411" w:type="dxa"/>
          </w:tcPr>
          <w:p w:rsidR="001A0263" w:rsidRPr="0023087C" w:rsidRDefault="001A0263" w:rsidP="001A0263">
            <w:pPr>
              <w:tabs>
                <w:tab w:val="left" w:pos="511"/>
              </w:tabs>
              <w:jc w:val="both"/>
              <w:rPr>
                <w:sz w:val="22"/>
                <w:szCs w:val="22"/>
                <w:lang w:val="ro-RO"/>
              </w:rPr>
            </w:pPr>
          </w:p>
        </w:tc>
        <w:tc>
          <w:tcPr>
            <w:tcW w:w="425" w:type="dxa"/>
            <w:shd w:val="clear" w:color="auto" w:fill="auto"/>
          </w:tcPr>
          <w:p w:rsidR="001A0263" w:rsidRPr="0023087C" w:rsidRDefault="001A0263" w:rsidP="001A0263">
            <w:pPr>
              <w:tabs>
                <w:tab w:val="left" w:pos="511"/>
              </w:tabs>
              <w:jc w:val="both"/>
              <w:rPr>
                <w:sz w:val="22"/>
                <w:szCs w:val="22"/>
                <w:lang w:val="ro-RO"/>
              </w:rPr>
            </w:pPr>
          </w:p>
        </w:tc>
        <w:tc>
          <w:tcPr>
            <w:tcW w:w="425" w:type="dxa"/>
            <w:gridSpan w:val="2"/>
          </w:tcPr>
          <w:p w:rsidR="001A0263" w:rsidRPr="0023087C" w:rsidRDefault="001A0263" w:rsidP="001A0263">
            <w:pPr>
              <w:tabs>
                <w:tab w:val="left" w:pos="511"/>
              </w:tabs>
              <w:jc w:val="both"/>
              <w:rPr>
                <w:sz w:val="22"/>
                <w:szCs w:val="22"/>
                <w:lang w:val="ro-RO"/>
              </w:rPr>
            </w:pPr>
          </w:p>
        </w:tc>
        <w:tc>
          <w:tcPr>
            <w:tcW w:w="857" w:type="dxa"/>
          </w:tcPr>
          <w:p w:rsidR="001A0263" w:rsidRPr="0023087C" w:rsidRDefault="001A0263" w:rsidP="001A0263">
            <w:pPr>
              <w:tabs>
                <w:tab w:val="left" w:pos="511"/>
              </w:tabs>
              <w:jc w:val="both"/>
              <w:rPr>
                <w:sz w:val="22"/>
                <w:szCs w:val="22"/>
                <w:lang w:val="ro-RO"/>
              </w:rPr>
            </w:pPr>
            <w:r w:rsidRPr="0023087C">
              <w:rPr>
                <w:sz w:val="22"/>
                <w:szCs w:val="22"/>
                <w:lang w:val="ro-RO"/>
              </w:rPr>
              <w:t>8</w:t>
            </w:r>
          </w:p>
        </w:tc>
      </w:tr>
      <w:tr w:rsidR="001A0263" w:rsidRPr="0023087C" w:rsidTr="001A0263">
        <w:trPr>
          <w:jc w:val="center"/>
        </w:trPr>
        <w:tc>
          <w:tcPr>
            <w:tcW w:w="1377" w:type="dxa"/>
            <w:shd w:val="clear" w:color="auto" w:fill="auto"/>
          </w:tcPr>
          <w:p w:rsidR="001A0263" w:rsidRPr="0023087C" w:rsidRDefault="001A0263" w:rsidP="001A0263">
            <w:pPr>
              <w:tabs>
                <w:tab w:val="left" w:pos="511"/>
              </w:tabs>
              <w:rPr>
                <w:lang w:val="ro-RO"/>
              </w:rPr>
            </w:pPr>
            <w:r w:rsidRPr="0023087C">
              <w:rPr>
                <w:lang w:val="ro-RO"/>
              </w:rPr>
              <w:t xml:space="preserve">Tranșă variabilă </w:t>
            </w:r>
          </w:p>
        </w:tc>
        <w:tc>
          <w:tcPr>
            <w:tcW w:w="338" w:type="dxa"/>
            <w:shd w:val="clear" w:color="auto" w:fill="auto"/>
          </w:tcPr>
          <w:p w:rsidR="001A0263" w:rsidRPr="0023087C" w:rsidRDefault="001A0263" w:rsidP="001A0263">
            <w:pPr>
              <w:tabs>
                <w:tab w:val="left" w:pos="511"/>
              </w:tabs>
              <w:jc w:val="both"/>
              <w:rPr>
                <w:sz w:val="22"/>
                <w:szCs w:val="22"/>
                <w:lang w:val="ro-RO"/>
              </w:rPr>
            </w:pPr>
          </w:p>
        </w:tc>
        <w:tc>
          <w:tcPr>
            <w:tcW w:w="358" w:type="dxa"/>
            <w:shd w:val="clear" w:color="auto" w:fill="auto"/>
          </w:tcPr>
          <w:p w:rsidR="001A0263" w:rsidRPr="0023087C" w:rsidRDefault="001A0263" w:rsidP="001A0263">
            <w:pPr>
              <w:tabs>
                <w:tab w:val="left" w:pos="511"/>
              </w:tabs>
              <w:jc w:val="both"/>
              <w:rPr>
                <w:sz w:val="22"/>
                <w:szCs w:val="22"/>
                <w:lang w:val="ro-RO"/>
              </w:rPr>
            </w:pPr>
          </w:p>
        </w:tc>
        <w:tc>
          <w:tcPr>
            <w:tcW w:w="425" w:type="dxa"/>
            <w:shd w:val="clear" w:color="auto" w:fill="auto"/>
          </w:tcPr>
          <w:p w:rsidR="001A0263" w:rsidRPr="0023087C" w:rsidRDefault="001A0263" w:rsidP="001A0263">
            <w:pPr>
              <w:tabs>
                <w:tab w:val="left" w:pos="511"/>
              </w:tabs>
              <w:jc w:val="both"/>
              <w:rPr>
                <w:sz w:val="22"/>
                <w:szCs w:val="22"/>
                <w:lang w:val="ro-RO"/>
              </w:rPr>
            </w:pPr>
          </w:p>
        </w:tc>
        <w:tc>
          <w:tcPr>
            <w:tcW w:w="371" w:type="dxa"/>
            <w:shd w:val="clear" w:color="auto" w:fill="auto"/>
          </w:tcPr>
          <w:p w:rsidR="001A0263" w:rsidRPr="0023087C" w:rsidRDefault="001A0263" w:rsidP="001A0263">
            <w:pPr>
              <w:tabs>
                <w:tab w:val="left" w:pos="511"/>
              </w:tabs>
              <w:jc w:val="both"/>
              <w:rPr>
                <w:sz w:val="22"/>
                <w:szCs w:val="22"/>
                <w:lang w:val="ro-RO"/>
              </w:rPr>
            </w:pPr>
          </w:p>
        </w:tc>
        <w:tc>
          <w:tcPr>
            <w:tcW w:w="382" w:type="dxa"/>
            <w:shd w:val="clear" w:color="auto" w:fill="auto"/>
          </w:tcPr>
          <w:p w:rsidR="001A0263" w:rsidRPr="0023087C" w:rsidRDefault="001A0263" w:rsidP="001A0263">
            <w:pPr>
              <w:tabs>
                <w:tab w:val="left" w:pos="511"/>
              </w:tabs>
              <w:jc w:val="both"/>
              <w:rPr>
                <w:sz w:val="22"/>
                <w:szCs w:val="22"/>
                <w:lang w:val="ro-RO"/>
              </w:rPr>
            </w:pPr>
          </w:p>
        </w:tc>
        <w:tc>
          <w:tcPr>
            <w:tcW w:w="381" w:type="dxa"/>
            <w:shd w:val="clear" w:color="auto" w:fill="auto"/>
          </w:tcPr>
          <w:p w:rsidR="001A0263" w:rsidRPr="0023087C" w:rsidRDefault="001A0263" w:rsidP="001A0263">
            <w:pPr>
              <w:tabs>
                <w:tab w:val="left" w:pos="511"/>
              </w:tabs>
              <w:jc w:val="both"/>
              <w:rPr>
                <w:sz w:val="22"/>
                <w:szCs w:val="22"/>
                <w:lang w:val="ro-RO"/>
              </w:rPr>
            </w:pPr>
            <w:r w:rsidRPr="0023087C">
              <w:rPr>
                <w:sz w:val="22"/>
                <w:szCs w:val="22"/>
                <w:lang w:val="ro-RO"/>
              </w:rPr>
              <w:t xml:space="preserve">8 </w:t>
            </w:r>
          </w:p>
        </w:tc>
        <w:tc>
          <w:tcPr>
            <w:tcW w:w="300" w:type="dxa"/>
            <w:shd w:val="clear" w:color="auto" w:fill="auto"/>
          </w:tcPr>
          <w:p w:rsidR="001A0263" w:rsidRPr="0023087C" w:rsidRDefault="001A0263" w:rsidP="001A0263">
            <w:pPr>
              <w:tabs>
                <w:tab w:val="left" w:pos="511"/>
              </w:tabs>
              <w:jc w:val="both"/>
              <w:rPr>
                <w:sz w:val="22"/>
                <w:szCs w:val="22"/>
                <w:lang w:val="ro-RO"/>
              </w:rPr>
            </w:pPr>
          </w:p>
        </w:tc>
        <w:tc>
          <w:tcPr>
            <w:tcW w:w="409" w:type="dxa"/>
            <w:shd w:val="clear" w:color="auto" w:fill="auto"/>
          </w:tcPr>
          <w:p w:rsidR="001A0263" w:rsidRPr="0023087C" w:rsidRDefault="001A0263" w:rsidP="001A0263">
            <w:pPr>
              <w:tabs>
                <w:tab w:val="left" w:pos="511"/>
              </w:tabs>
              <w:jc w:val="both"/>
              <w:rPr>
                <w:sz w:val="22"/>
                <w:szCs w:val="22"/>
                <w:lang w:val="ro-RO"/>
              </w:rPr>
            </w:pPr>
          </w:p>
        </w:tc>
        <w:tc>
          <w:tcPr>
            <w:tcW w:w="337" w:type="dxa"/>
            <w:shd w:val="clear" w:color="auto" w:fill="auto"/>
          </w:tcPr>
          <w:p w:rsidR="001A0263" w:rsidRPr="0023087C" w:rsidRDefault="001A0263" w:rsidP="001A0263">
            <w:pPr>
              <w:tabs>
                <w:tab w:val="left" w:pos="511"/>
              </w:tabs>
              <w:jc w:val="both"/>
              <w:rPr>
                <w:sz w:val="22"/>
                <w:szCs w:val="22"/>
                <w:lang w:val="ro-RO"/>
              </w:rPr>
            </w:pPr>
          </w:p>
        </w:tc>
        <w:tc>
          <w:tcPr>
            <w:tcW w:w="277" w:type="dxa"/>
            <w:shd w:val="clear" w:color="auto" w:fill="auto"/>
          </w:tcPr>
          <w:p w:rsidR="001A0263" w:rsidRPr="0023087C" w:rsidRDefault="001A0263" w:rsidP="001A0263">
            <w:pPr>
              <w:tabs>
                <w:tab w:val="left" w:pos="511"/>
              </w:tabs>
              <w:jc w:val="both"/>
              <w:rPr>
                <w:sz w:val="22"/>
                <w:szCs w:val="22"/>
                <w:lang w:val="ro-RO"/>
              </w:rPr>
            </w:pPr>
            <w:r w:rsidRPr="0023087C">
              <w:rPr>
                <w:sz w:val="22"/>
                <w:szCs w:val="22"/>
                <w:lang w:val="ro-RO"/>
              </w:rPr>
              <w:t xml:space="preserve">8 </w:t>
            </w:r>
          </w:p>
        </w:tc>
        <w:tc>
          <w:tcPr>
            <w:tcW w:w="290" w:type="dxa"/>
            <w:shd w:val="clear" w:color="auto" w:fill="auto"/>
          </w:tcPr>
          <w:p w:rsidR="001A0263" w:rsidRPr="0023087C" w:rsidRDefault="001A0263" w:rsidP="001A0263">
            <w:pPr>
              <w:tabs>
                <w:tab w:val="left" w:pos="511"/>
              </w:tabs>
              <w:jc w:val="both"/>
              <w:rPr>
                <w:sz w:val="22"/>
                <w:szCs w:val="22"/>
                <w:lang w:val="ro-RO"/>
              </w:rPr>
            </w:pPr>
          </w:p>
        </w:tc>
        <w:tc>
          <w:tcPr>
            <w:tcW w:w="400" w:type="dxa"/>
            <w:shd w:val="clear" w:color="auto" w:fill="auto"/>
          </w:tcPr>
          <w:p w:rsidR="001A0263" w:rsidRPr="0023087C" w:rsidRDefault="001A0263" w:rsidP="001A0263">
            <w:pPr>
              <w:tabs>
                <w:tab w:val="left" w:pos="511"/>
              </w:tabs>
              <w:jc w:val="both"/>
              <w:rPr>
                <w:sz w:val="22"/>
                <w:szCs w:val="22"/>
                <w:lang w:val="ro-RO"/>
              </w:rPr>
            </w:pPr>
          </w:p>
        </w:tc>
        <w:tc>
          <w:tcPr>
            <w:tcW w:w="314" w:type="dxa"/>
          </w:tcPr>
          <w:p w:rsidR="001A0263" w:rsidRPr="0023087C" w:rsidRDefault="001A0263" w:rsidP="001A0263">
            <w:pPr>
              <w:tabs>
                <w:tab w:val="left" w:pos="511"/>
              </w:tabs>
              <w:jc w:val="both"/>
              <w:rPr>
                <w:sz w:val="22"/>
                <w:szCs w:val="22"/>
                <w:lang w:val="ro-RO"/>
              </w:rPr>
            </w:pPr>
          </w:p>
        </w:tc>
        <w:tc>
          <w:tcPr>
            <w:tcW w:w="411" w:type="dxa"/>
          </w:tcPr>
          <w:p w:rsidR="001A0263" w:rsidRPr="0023087C" w:rsidRDefault="001A0263" w:rsidP="001A0263">
            <w:pPr>
              <w:tabs>
                <w:tab w:val="left" w:pos="511"/>
              </w:tabs>
              <w:jc w:val="both"/>
              <w:rPr>
                <w:sz w:val="22"/>
                <w:szCs w:val="22"/>
                <w:lang w:val="ro-RO"/>
              </w:rPr>
            </w:pPr>
            <w:r w:rsidRPr="0023087C">
              <w:rPr>
                <w:sz w:val="22"/>
                <w:szCs w:val="22"/>
                <w:lang w:val="ro-RO"/>
              </w:rPr>
              <w:t xml:space="preserve">9 </w:t>
            </w:r>
          </w:p>
        </w:tc>
        <w:tc>
          <w:tcPr>
            <w:tcW w:w="425" w:type="dxa"/>
            <w:shd w:val="clear" w:color="auto" w:fill="auto"/>
          </w:tcPr>
          <w:p w:rsidR="001A0263" w:rsidRPr="0023087C" w:rsidRDefault="001A0263" w:rsidP="001A0263">
            <w:pPr>
              <w:tabs>
                <w:tab w:val="left" w:pos="511"/>
              </w:tabs>
              <w:jc w:val="both"/>
              <w:rPr>
                <w:sz w:val="22"/>
                <w:szCs w:val="22"/>
                <w:lang w:val="ro-RO"/>
              </w:rPr>
            </w:pPr>
          </w:p>
        </w:tc>
        <w:tc>
          <w:tcPr>
            <w:tcW w:w="425" w:type="dxa"/>
            <w:gridSpan w:val="2"/>
          </w:tcPr>
          <w:p w:rsidR="001A0263" w:rsidRPr="0023087C" w:rsidRDefault="001A0263" w:rsidP="001A0263">
            <w:pPr>
              <w:tabs>
                <w:tab w:val="left" w:pos="511"/>
              </w:tabs>
              <w:jc w:val="both"/>
              <w:rPr>
                <w:sz w:val="22"/>
                <w:szCs w:val="22"/>
                <w:lang w:val="ro-RO"/>
              </w:rPr>
            </w:pPr>
          </w:p>
        </w:tc>
        <w:tc>
          <w:tcPr>
            <w:tcW w:w="857" w:type="dxa"/>
          </w:tcPr>
          <w:p w:rsidR="001A0263" w:rsidRPr="0023087C" w:rsidRDefault="001A0263" w:rsidP="001A0263">
            <w:pPr>
              <w:tabs>
                <w:tab w:val="left" w:pos="511"/>
              </w:tabs>
              <w:jc w:val="both"/>
              <w:rPr>
                <w:sz w:val="22"/>
                <w:szCs w:val="22"/>
                <w:lang w:val="ro-RO"/>
              </w:rPr>
            </w:pPr>
            <w:r w:rsidRPr="0023087C">
              <w:rPr>
                <w:sz w:val="22"/>
                <w:szCs w:val="22"/>
                <w:lang w:val="ro-RO"/>
              </w:rPr>
              <w:t xml:space="preserve">25 </w:t>
            </w:r>
          </w:p>
        </w:tc>
      </w:tr>
      <w:tr w:rsidR="001A0263" w:rsidRPr="0023087C" w:rsidTr="001A0263">
        <w:trPr>
          <w:trHeight w:val="369"/>
          <w:jc w:val="center"/>
        </w:trPr>
        <w:tc>
          <w:tcPr>
            <w:tcW w:w="1377" w:type="dxa"/>
            <w:shd w:val="clear" w:color="auto" w:fill="auto"/>
          </w:tcPr>
          <w:p w:rsidR="001A0263" w:rsidRPr="0023087C" w:rsidRDefault="001A0263" w:rsidP="001A0263">
            <w:pPr>
              <w:tabs>
                <w:tab w:val="left" w:pos="511"/>
              </w:tabs>
              <w:jc w:val="both"/>
              <w:rPr>
                <w:b/>
                <w:lang w:val="ro-RO"/>
              </w:rPr>
            </w:pPr>
            <w:r w:rsidRPr="0023087C">
              <w:rPr>
                <w:b/>
                <w:lang w:val="ro-RO"/>
              </w:rPr>
              <w:t xml:space="preserve">Total </w:t>
            </w:r>
          </w:p>
        </w:tc>
        <w:tc>
          <w:tcPr>
            <w:tcW w:w="338" w:type="dxa"/>
            <w:shd w:val="clear" w:color="auto" w:fill="auto"/>
          </w:tcPr>
          <w:p w:rsidR="001A0263" w:rsidRPr="0023087C" w:rsidRDefault="001A0263" w:rsidP="001A0263">
            <w:pPr>
              <w:tabs>
                <w:tab w:val="left" w:pos="511"/>
              </w:tabs>
              <w:jc w:val="both"/>
              <w:rPr>
                <w:b/>
                <w:sz w:val="22"/>
                <w:szCs w:val="22"/>
                <w:lang w:val="ro-RO"/>
              </w:rPr>
            </w:pPr>
          </w:p>
        </w:tc>
        <w:tc>
          <w:tcPr>
            <w:tcW w:w="358" w:type="dxa"/>
            <w:shd w:val="clear" w:color="auto" w:fill="auto"/>
          </w:tcPr>
          <w:p w:rsidR="001A0263" w:rsidRPr="0023087C" w:rsidRDefault="001A0263" w:rsidP="001A0263">
            <w:pPr>
              <w:tabs>
                <w:tab w:val="left" w:pos="511"/>
              </w:tabs>
              <w:jc w:val="both"/>
              <w:rPr>
                <w:b/>
                <w:sz w:val="22"/>
                <w:szCs w:val="22"/>
                <w:lang w:val="ro-RO"/>
              </w:rPr>
            </w:pPr>
          </w:p>
        </w:tc>
        <w:tc>
          <w:tcPr>
            <w:tcW w:w="425" w:type="dxa"/>
            <w:shd w:val="clear" w:color="auto" w:fill="auto"/>
          </w:tcPr>
          <w:p w:rsidR="001A0263" w:rsidRPr="0023087C" w:rsidRDefault="001A0263" w:rsidP="001A0263">
            <w:pPr>
              <w:tabs>
                <w:tab w:val="left" w:pos="511"/>
              </w:tabs>
              <w:jc w:val="both"/>
              <w:rPr>
                <w:b/>
                <w:sz w:val="22"/>
                <w:lang w:val="ro-RO"/>
              </w:rPr>
            </w:pPr>
          </w:p>
        </w:tc>
        <w:tc>
          <w:tcPr>
            <w:tcW w:w="371" w:type="dxa"/>
            <w:shd w:val="clear" w:color="auto" w:fill="auto"/>
          </w:tcPr>
          <w:p w:rsidR="001A0263" w:rsidRPr="0023087C" w:rsidRDefault="001A0263" w:rsidP="001A0263">
            <w:pPr>
              <w:tabs>
                <w:tab w:val="left" w:pos="511"/>
              </w:tabs>
              <w:jc w:val="both"/>
              <w:rPr>
                <w:b/>
                <w:sz w:val="22"/>
                <w:szCs w:val="22"/>
                <w:lang w:val="ro-RO"/>
              </w:rPr>
            </w:pPr>
            <w:r w:rsidRPr="0023087C">
              <w:rPr>
                <w:b/>
                <w:sz w:val="22"/>
                <w:szCs w:val="22"/>
                <w:lang w:val="ro-RO"/>
              </w:rPr>
              <w:t>8</w:t>
            </w:r>
          </w:p>
        </w:tc>
        <w:tc>
          <w:tcPr>
            <w:tcW w:w="382" w:type="dxa"/>
            <w:shd w:val="clear" w:color="auto" w:fill="auto"/>
          </w:tcPr>
          <w:p w:rsidR="001A0263" w:rsidRPr="0023087C" w:rsidRDefault="001A0263" w:rsidP="001A0263">
            <w:pPr>
              <w:tabs>
                <w:tab w:val="left" w:pos="511"/>
              </w:tabs>
              <w:jc w:val="both"/>
              <w:rPr>
                <w:b/>
                <w:sz w:val="22"/>
                <w:szCs w:val="22"/>
                <w:lang w:val="ro-RO"/>
              </w:rPr>
            </w:pPr>
          </w:p>
        </w:tc>
        <w:tc>
          <w:tcPr>
            <w:tcW w:w="381" w:type="dxa"/>
            <w:shd w:val="clear" w:color="auto" w:fill="auto"/>
          </w:tcPr>
          <w:p w:rsidR="001A0263" w:rsidRPr="0023087C" w:rsidRDefault="001A0263" w:rsidP="001A0263">
            <w:pPr>
              <w:tabs>
                <w:tab w:val="left" w:pos="511"/>
              </w:tabs>
              <w:jc w:val="both"/>
              <w:rPr>
                <w:b/>
                <w:sz w:val="22"/>
                <w:lang w:val="ro-RO"/>
              </w:rPr>
            </w:pPr>
            <w:r w:rsidRPr="0023087C">
              <w:rPr>
                <w:b/>
                <w:sz w:val="22"/>
                <w:lang w:val="ro-RO"/>
              </w:rPr>
              <w:t xml:space="preserve">8 </w:t>
            </w:r>
          </w:p>
        </w:tc>
        <w:tc>
          <w:tcPr>
            <w:tcW w:w="300" w:type="dxa"/>
            <w:shd w:val="clear" w:color="auto" w:fill="auto"/>
          </w:tcPr>
          <w:p w:rsidR="001A0263" w:rsidRPr="0023087C" w:rsidRDefault="001A0263" w:rsidP="001A0263">
            <w:pPr>
              <w:tabs>
                <w:tab w:val="left" w:pos="511"/>
              </w:tabs>
              <w:jc w:val="both"/>
              <w:rPr>
                <w:b/>
                <w:sz w:val="22"/>
                <w:szCs w:val="22"/>
                <w:lang w:val="ro-RO"/>
              </w:rPr>
            </w:pPr>
          </w:p>
        </w:tc>
        <w:tc>
          <w:tcPr>
            <w:tcW w:w="409" w:type="dxa"/>
            <w:shd w:val="clear" w:color="auto" w:fill="auto"/>
          </w:tcPr>
          <w:p w:rsidR="001A0263" w:rsidRPr="0023087C" w:rsidRDefault="001A0263" w:rsidP="001A0263">
            <w:pPr>
              <w:tabs>
                <w:tab w:val="left" w:pos="511"/>
              </w:tabs>
              <w:jc w:val="both"/>
              <w:rPr>
                <w:b/>
                <w:sz w:val="22"/>
                <w:szCs w:val="22"/>
                <w:lang w:val="ro-RO"/>
              </w:rPr>
            </w:pPr>
          </w:p>
        </w:tc>
        <w:tc>
          <w:tcPr>
            <w:tcW w:w="337" w:type="dxa"/>
            <w:shd w:val="clear" w:color="auto" w:fill="auto"/>
          </w:tcPr>
          <w:p w:rsidR="001A0263" w:rsidRPr="0023087C" w:rsidRDefault="001A0263" w:rsidP="001A0263">
            <w:pPr>
              <w:tabs>
                <w:tab w:val="left" w:pos="511"/>
              </w:tabs>
              <w:jc w:val="both"/>
              <w:rPr>
                <w:b/>
                <w:sz w:val="22"/>
                <w:szCs w:val="22"/>
                <w:lang w:val="ro-RO"/>
              </w:rPr>
            </w:pPr>
          </w:p>
        </w:tc>
        <w:tc>
          <w:tcPr>
            <w:tcW w:w="277" w:type="dxa"/>
            <w:shd w:val="clear" w:color="auto" w:fill="auto"/>
          </w:tcPr>
          <w:p w:rsidR="001A0263" w:rsidRPr="0023087C" w:rsidRDefault="001A0263" w:rsidP="001A0263">
            <w:pPr>
              <w:tabs>
                <w:tab w:val="left" w:pos="511"/>
              </w:tabs>
              <w:jc w:val="both"/>
              <w:rPr>
                <w:b/>
                <w:sz w:val="22"/>
                <w:lang w:val="ro-RO"/>
              </w:rPr>
            </w:pPr>
            <w:r w:rsidRPr="0023087C">
              <w:rPr>
                <w:b/>
                <w:sz w:val="22"/>
                <w:lang w:val="ro-RO"/>
              </w:rPr>
              <w:t xml:space="preserve">8 </w:t>
            </w:r>
          </w:p>
        </w:tc>
        <w:tc>
          <w:tcPr>
            <w:tcW w:w="290" w:type="dxa"/>
            <w:shd w:val="clear" w:color="auto" w:fill="auto"/>
          </w:tcPr>
          <w:p w:rsidR="001A0263" w:rsidRPr="0023087C" w:rsidRDefault="001A0263" w:rsidP="001A0263">
            <w:pPr>
              <w:tabs>
                <w:tab w:val="left" w:pos="511"/>
              </w:tabs>
              <w:jc w:val="both"/>
              <w:rPr>
                <w:b/>
                <w:sz w:val="22"/>
                <w:szCs w:val="22"/>
                <w:lang w:val="ro-RO"/>
              </w:rPr>
            </w:pPr>
          </w:p>
        </w:tc>
        <w:tc>
          <w:tcPr>
            <w:tcW w:w="400" w:type="dxa"/>
            <w:shd w:val="clear" w:color="auto" w:fill="auto"/>
          </w:tcPr>
          <w:p w:rsidR="001A0263" w:rsidRPr="0023087C" w:rsidRDefault="001A0263" w:rsidP="001A0263">
            <w:pPr>
              <w:tabs>
                <w:tab w:val="left" w:pos="511"/>
              </w:tabs>
              <w:jc w:val="both"/>
              <w:rPr>
                <w:b/>
                <w:sz w:val="22"/>
                <w:szCs w:val="22"/>
                <w:lang w:val="ro-RO"/>
              </w:rPr>
            </w:pPr>
          </w:p>
        </w:tc>
        <w:tc>
          <w:tcPr>
            <w:tcW w:w="314" w:type="dxa"/>
          </w:tcPr>
          <w:p w:rsidR="001A0263" w:rsidRPr="0023087C" w:rsidRDefault="001A0263" w:rsidP="001A0263">
            <w:pPr>
              <w:tabs>
                <w:tab w:val="left" w:pos="511"/>
              </w:tabs>
              <w:jc w:val="both"/>
              <w:rPr>
                <w:b/>
                <w:sz w:val="22"/>
                <w:szCs w:val="22"/>
                <w:lang w:val="ro-RO"/>
              </w:rPr>
            </w:pPr>
          </w:p>
        </w:tc>
        <w:tc>
          <w:tcPr>
            <w:tcW w:w="411" w:type="dxa"/>
          </w:tcPr>
          <w:p w:rsidR="001A0263" w:rsidRPr="0023087C" w:rsidRDefault="001A0263" w:rsidP="001A0263">
            <w:pPr>
              <w:tabs>
                <w:tab w:val="left" w:pos="511"/>
              </w:tabs>
              <w:jc w:val="both"/>
              <w:rPr>
                <w:b/>
                <w:sz w:val="22"/>
                <w:lang w:val="ro-RO"/>
              </w:rPr>
            </w:pPr>
            <w:r w:rsidRPr="0023087C">
              <w:rPr>
                <w:b/>
                <w:sz w:val="22"/>
                <w:lang w:val="ro-RO"/>
              </w:rPr>
              <w:t xml:space="preserve">9 </w:t>
            </w:r>
          </w:p>
        </w:tc>
        <w:tc>
          <w:tcPr>
            <w:tcW w:w="425" w:type="dxa"/>
            <w:shd w:val="clear" w:color="auto" w:fill="auto"/>
          </w:tcPr>
          <w:p w:rsidR="001A0263" w:rsidRPr="0023087C" w:rsidRDefault="001A0263" w:rsidP="001A0263">
            <w:pPr>
              <w:tabs>
                <w:tab w:val="left" w:pos="511"/>
              </w:tabs>
              <w:jc w:val="both"/>
              <w:rPr>
                <w:b/>
                <w:sz w:val="22"/>
                <w:szCs w:val="22"/>
                <w:lang w:val="ro-RO"/>
              </w:rPr>
            </w:pPr>
          </w:p>
        </w:tc>
        <w:tc>
          <w:tcPr>
            <w:tcW w:w="425" w:type="dxa"/>
            <w:gridSpan w:val="2"/>
          </w:tcPr>
          <w:p w:rsidR="001A0263" w:rsidRPr="0023087C" w:rsidRDefault="001A0263" w:rsidP="001A0263">
            <w:pPr>
              <w:tabs>
                <w:tab w:val="left" w:pos="511"/>
              </w:tabs>
              <w:jc w:val="both"/>
              <w:rPr>
                <w:b/>
                <w:sz w:val="22"/>
                <w:szCs w:val="22"/>
                <w:lang w:val="ro-RO"/>
              </w:rPr>
            </w:pPr>
          </w:p>
        </w:tc>
        <w:tc>
          <w:tcPr>
            <w:tcW w:w="857" w:type="dxa"/>
          </w:tcPr>
          <w:p w:rsidR="001A0263" w:rsidRPr="0023087C" w:rsidRDefault="001A0263" w:rsidP="001A0263">
            <w:pPr>
              <w:tabs>
                <w:tab w:val="left" w:pos="511"/>
              </w:tabs>
              <w:jc w:val="both"/>
              <w:rPr>
                <w:b/>
                <w:sz w:val="22"/>
                <w:lang w:val="ro-RO"/>
              </w:rPr>
            </w:pPr>
            <w:r w:rsidRPr="0023087C">
              <w:rPr>
                <w:b/>
                <w:sz w:val="22"/>
                <w:lang w:val="ro-RO"/>
              </w:rPr>
              <w:t xml:space="preserve">33 </w:t>
            </w:r>
          </w:p>
        </w:tc>
      </w:tr>
    </w:tbl>
    <w:p w:rsidR="001A0263" w:rsidRPr="0023087C" w:rsidRDefault="001A0263" w:rsidP="001A0263">
      <w:pPr>
        <w:rPr>
          <w:lang w:val="ro-RO"/>
        </w:rPr>
      </w:pPr>
    </w:p>
    <w:p w:rsidR="001A0263" w:rsidRPr="0023087C" w:rsidRDefault="001A0263" w:rsidP="001A0263">
      <w:pPr>
        <w:rPr>
          <w:lang w:val="ro-RO"/>
        </w:rPr>
      </w:pPr>
    </w:p>
    <w:p w:rsidR="001A0263" w:rsidRPr="0023087C" w:rsidRDefault="001A0263" w:rsidP="001A0263">
      <w:pPr>
        <w:pStyle w:val="Text2"/>
        <w:ind w:left="0"/>
        <w:rPr>
          <w:i/>
          <w:szCs w:val="24"/>
          <w:lang w:val="ro-RO"/>
        </w:rPr>
      </w:pPr>
      <w:r w:rsidRPr="0023087C">
        <w:rPr>
          <w:b/>
          <w:i/>
          <w:szCs w:val="24"/>
          <w:lang w:val="ro-RO"/>
        </w:rPr>
        <w:t>2.3.1.</w:t>
      </w:r>
      <w:r w:rsidRPr="0023087C">
        <w:rPr>
          <w:b/>
          <w:i/>
          <w:szCs w:val="24"/>
          <w:lang w:val="ro-RO"/>
        </w:rPr>
        <w:tab/>
        <w:t xml:space="preserve"> Detaliile Suportului Bugetar</w:t>
      </w:r>
    </w:p>
    <w:p w:rsidR="001A0263" w:rsidRPr="0023087C" w:rsidRDefault="001A0263" w:rsidP="001A0263">
      <w:pPr>
        <w:spacing w:before="120"/>
        <w:jc w:val="both"/>
        <w:rPr>
          <w:bCs/>
          <w:lang w:val="ro-RO"/>
        </w:rPr>
      </w:pPr>
      <w:r w:rsidRPr="0023087C">
        <w:rPr>
          <w:bCs/>
          <w:lang w:val="ro-RO"/>
        </w:rPr>
        <w:t xml:space="preserve">SRC “Suport pentru Reformele Politicii Finanțelor Publice din Republica Moldova” prevede patru tranșe de debursări corespunzînd anilor fiscali 2015, 2016, 2017, 2018 din Moldova. </w:t>
      </w:r>
    </w:p>
    <w:p w:rsidR="001A0263" w:rsidRPr="0023087C" w:rsidRDefault="001A0263" w:rsidP="001A0263">
      <w:pPr>
        <w:spacing w:before="120"/>
        <w:jc w:val="both"/>
        <w:rPr>
          <w:bCs/>
          <w:lang w:val="ro-RO"/>
        </w:rPr>
      </w:pPr>
      <w:r w:rsidRPr="0023087C">
        <w:rPr>
          <w:bCs/>
          <w:lang w:val="ro-RO"/>
        </w:rPr>
        <w:t xml:space="preserve">Prima tranșă va fi Fixată/de Bază (8 milioane de euro) care e planificată pentru a fi debursată în 2014 în urmă la semnarea Acordului de Finanțare și luînd în considerare că cele patru Condiții Generale sunt îndeplinite. </w:t>
      </w:r>
    </w:p>
    <w:p w:rsidR="001A0263" w:rsidRPr="0023087C" w:rsidRDefault="001A0263" w:rsidP="001A0263">
      <w:pPr>
        <w:spacing w:before="120"/>
        <w:jc w:val="both"/>
        <w:rPr>
          <w:bCs/>
          <w:lang w:val="ro-RO"/>
        </w:rPr>
      </w:pPr>
      <w:r w:rsidRPr="0023087C">
        <w:rPr>
          <w:bCs/>
          <w:lang w:val="ro-RO"/>
        </w:rPr>
        <w:t xml:space="preserve">Următoarele tranșe Variabile/de Performanță (8 milioane de euro pentru 1-a și a 2-a tranșă variabilă și respectiv 9 milioane de euro pentru a 3-a tranșă) sunt planificate pentru a fi debursate în primele semestre ale anilor fiscali 2016, 2017 și 2018, și depind de conformarea continuă a Condițiilor Generale și de îndeplinirea Condițiilor Specifice descrise în detaliu în Dispozițiile Tehnice și Administrative și în Matricea de Reformă a Politicilor. </w:t>
      </w:r>
    </w:p>
    <w:p w:rsidR="001A0263" w:rsidRPr="0023087C" w:rsidRDefault="001A0263" w:rsidP="001A0263">
      <w:pPr>
        <w:pStyle w:val="Text2"/>
        <w:ind w:left="0"/>
        <w:rPr>
          <w:szCs w:val="24"/>
          <w:lang w:val="ro-RO"/>
        </w:rPr>
      </w:pPr>
      <w:r w:rsidRPr="0023087C">
        <w:rPr>
          <w:szCs w:val="24"/>
          <w:lang w:val="ro-RO"/>
        </w:rPr>
        <w:t>Suportul Bugetar este acordat ca suport direct neorientat la Trezoreria Națională. Creditarea transferurilor de euro sunt debursate n Lei Moldovenești (MDL) vor fi considerate la rata de schimb corespunzătoare conform Articolului 6 al Condițiilor Speciale.</w:t>
      </w:r>
    </w:p>
    <w:p w:rsidR="001A0263" w:rsidRPr="0023087C" w:rsidRDefault="001A0263" w:rsidP="001A0263">
      <w:pPr>
        <w:pStyle w:val="ListNumber1"/>
        <w:numPr>
          <w:ilvl w:val="0"/>
          <w:numId w:val="0"/>
        </w:numPr>
        <w:ind w:left="851" w:hanging="851"/>
        <w:rPr>
          <w:i/>
          <w:szCs w:val="24"/>
          <w:lang w:val="ro-RO"/>
        </w:rPr>
      </w:pPr>
      <w:r w:rsidRPr="0023087C">
        <w:rPr>
          <w:b/>
          <w:i/>
          <w:szCs w:val="24"/>
          <w:lang w:val="ro-RO"/>
        </w:rPr>
        <w:t xml:space="preserve">   2.3.2. Criteriile de Debursare</w:t>
      </w:r>
    </w:p>
    <w:p w:rsidR="001A0263" w:rsidRPr="0023087C" w:rsidRDefault="001A0263" w:rsidP="001A0263">
      <w:pPr>
        <w:pStyle w:val="Text2"/>
        <w:ind w:left="0"/>
        <w:rPr>
          <w:lang w:val="ro-RO"/>
        </w:rPr>
      </w:pPr>
      <w:r w:rsidRPr="0023087C">
        <w:rPr>
          <w:szCs w:val="24"/>
          <w:lang w:val="ro-RO"/>
        </w:rPr>
        <w:t xml:space="preserve">Condițiile generale de debursare ale tuturor tranșelor sunt: Progres satisfăcător în implementarea Strategiei Naționale de Dezvoltare ”Moldova 2020” și continuă credibilitate și relevanță a acestora; </w:t>
      </w:r>
      <w:r w:rsidRPr="0023087C">
        <w:rPr>
          <w:lang w:val="ro-RO"/>
        </w:rPr>
        <w:t>implementarea unei politici macroeconomice credibile și orientată spre stabilitate; progres satisfăcător în implementarea Strategiei de Dezvoltare a Managementului Finanțelor Publice 2013-2020; progres satisfăcător în legătură cu disponibilitatea informației bugetare cuprinzătoare, clare și în timp util; În caz de o deteriorare semnificativă a valorilor fundamentale, suportul bugetar poate fi în mod oficial suspendat permanent, suspendat temporar sau redus în concordanță cu Articolul 27.1 al condițiilor generale ale acordului de finanțare.</w:t>
      </w:r>
    </w:p>
    <w:p w:rsidR="001A0263" w:rsidRPr="0023087C" w:rsidRDefault="001A0263" w:rsidP="001A0263">
      <w:pPr>
        <w:pStyle w:val="Text2"/>
        <w:ind w:left="0"/>
        <w:rPr>
          <w:szCs w:val="24"/>
          <w:lang w:val="ro-RO"/>
        </w:rPr>
      </w:pPr>
      <w:r w:rsidRPr="0023087C">
        <w:rPr>
          <w:szCs w:val="24"/>
          <w:lang w:val="ro-RO"/>
        </w:rPr>
        <w:t>Aranjamentele și graficul de debursare sunt descrise în Anexa 2 a acestor Dispoziții Tehnice și Administrative.</w:t>
      </w:r>
    </w:p>
    <w:p w:rsidR="001A0263" w:rsidRPr="0023087C" w:rsidRDefault="001A0263" w:rsidP="001A0263">
      <w:pPr>
        <w:pStyle w:val="ListNumber1"/>
        <w:numPr>
          <w:ilvl w:val="0"/>
          <w:numId w:val="0"/>
        </w:numPr>
        <w:rPr>
          <w:lang w:val="ro-RO"/>
        </w:rPr>
      </w:pPr>
      <w:r w:rsidRPr="0023087C">
        <w:rPr>
          <w:b/>
          <w:i/>
          <w:lang w:val="ro-RO"/>
        </w:rPr>
        <w:t>Condițiile Speciale</w:t>
      </w:r>
      <w:r w:rsidRPr="0023087C">
        <w:rPr>
          <w:lang w:val="ro-RO"/>
        </w:rPr>
        <w:t xml:space="preserve"> se referă la activitățile legate de îmbunătățirea eficienței, efectivității, transparenței și răspunderii din cadrul finanțelor publice din Moldova și </w:t>
      </w:r>
      <w:r w:rsidRPr="0023087C">
        <w:rPr>
          <w:lang w:val="ro-RO"/>
        </w:rPr>
        <w:lastRenderedPageBreak/>
        <w:t xml:space="preserve">sunt implementate de (i) Guvernul Republicii Moldova, și anume Ministerul Finanțelor; (ii) Parlamentul Republicii Moldova și anume </w:t>
      </w:r>
      <w:r w:rsidRPr="0023087C">
        <w:rPr>
          <w:bCs/>
          <w:lang w:val="ro-RO"/>
        </w:rPr>
        <w:t>Comisia Economie, Buget și Finanțe</w:t>
      </w:r>
      <w:r w:rsidRPr="0023087C">
        <w:rPr>
          <w:lang w:val="ro-RO"/>
        </w:rPr>
        <w:t xml:space="preserve"> a acestuia (iii) Curtea de Conturi, care este Instituția Supremă de Audit a Republicii Moldova.</w:t>
      </w:r>
    </w:p>
    <w:p w:rsidR="001A0263" w:rsidRPr="0023087C" w:rsidRDefault="001A0263" w:rsidP="001A0263">
      <w:pPr>
        <w:pStyle w:val="ListNumber1"/>
        <w:numPr>
          <w:ilvl w:val="0"/>
          <w:numId w:val="0"/>
        </w:numPr>
        <w:rPr>
          <w:szCs w:val="24"/>
          <w:highlight w:val="yellow"/>
          <w:lang w:val="ro-RO"/>
        </w:rPr>
      </w:pPr>
      <w:r w:rsidRPr="0023087C">
        <w:rPr>
          <w:szCs w:val="24"/>
          <w:lang w:val="ro-RO"/>
        </w:rPr>
        <w:t>Indicatorii de performanță pentru debursare sunt descriși în Anexa 1 a acestor Dispoziții Tehnice și Administrative. Obiectivele de performanță alese și indicatorii specificați în Anexa 1 vor fi aplicate pe durata programului. Cu toate acestea, în circumstanțe legitime, Guvernul Republicii Moldova pot depune o cerere Comisiei de schimbare a obiectivelor și indicatorilor. Schimbările acceptate ale acestor obiective și indicatori pot fi autorizate în urma schimburilor de scrisori între cele două părți.</w:t>
      </w:r>
      <w:r w:rsidRPr="0023087C">
        <w:rPr>
          <w:lang w:val="ro-RO"/>
        </w:rPr>
        <w:t xml:space="preserve"> </w:t>
      </w:r>
    </w:p>
    <w:p w:rsidR="001A0263" w:rsidRPr="0023087C" w:rsidRDefault="001A0263" w:rsidP="001A0263">
      <w:pPr>
        <w:rPr>
          <w:lang w:val="ro-RO"/>
        </w:rPr>
      </w:pPr>
    </w:p>
    <w:p w:rsidR="001A0263" w:rsidRPr="0023087C" w:rsidRDefault="001A0263" w:rsidP="001A0263">
      <w:pPr>
        <w:pStyle w:val="20"/>
        <w:tabs>
          <w:tab w:val="left" w:pos="851"/>
        </w:tabs>
        <w:rPr>
          <w:szCs w:val="24"/>
          <w:lang w:val="ro-RO"/>
        </w:rPr>
      </w:pPr>
      <w:r w:rsidRPr="0023087C">
        <w:rPr>
          <w:szCs w:val="24"/>
          <w:lang w:val="ro-RO"/>
        </w:rPr>
        <w:t xml:space="preserve">2.4. </w:t>
      </w:r>
      <w:r w:rsidRPr="0023087C">
        <w:rPr>
          <w:szCs w:val="24"/>
          <w:lang w:val="ro-RO"/>
        </w:rPr>
        <w:tab/>
        <w:t xml:space="preserve">Detaliile Suportului Complementar </w:t>
      </w:r>
    </w:p>
    <w:p w:rsidR="001A0263" w:rsidRPr="0023087C" w:rsidRDefault="001A0263" w:rsidP="001A0263">
      <w:pPr>
        <w:pStyle w:val="20"/>
        <w:tabs>
          <w:tab w:val="left" w:pos="851"/>
        </w:tabs>
        <w:rPr>
          <w:szCs w:val="24"/>
          <w:lang w:val="ro-RO"/>
        </w:rPr>
      </w:pPr>
    </w:p>
    <w:p w:rsidR="001A0263" w:rsidRPr="0023087C" w:rsidRDefault="001A0263" w:rsidP="001A0263">
      <w:pPr>
        <w:pStyle w:val="20"/>
        <w:tabs>
          <w:tab w:val="left" w:pos="851"/>
        </w:tabs>
        <w:rPr>
          <w:szCs w:val="24"/>
          <w:lang w:val="ro-RO"/>
        </w:rPr>
      </w:pPr>
      <w:r w:rsidRPr="0023087C">
        <w:rPr>
          <w:lang w:val="ro-RO"/>
        </w:rPr>
        <w:t>2.4.1.</w:t>
      </w:r>
      <w:r w:rsidRPr="0023087C">
        <w:rPr>
          <w:lang w:val="ro-RO"/>
        </w:rPr>
        <w:tab/>
        <w:t>Granturi: apel la propuneri ”Întărirea rolului societății civile în administrarea economică și managementul finanțelor publice” (management direct implementat de Comisie ca Autoritate Contractoare)</w:t>
      </w:r>
    </w:p>
    <w:p w:rsidR="001A0263" w:rsidRPr="0023087C" w:rsidRDefault="001A0263" w:rsidP="001A0263">
      <w:pPr>
        <w:pStyle w:val="4"/>
        <w:numPr>
          <w:ilvl w:val="4"/>
          <w:numId w:val="36"/>
        </w:numPr>
        <w:spacing w:before="120" w:after="120"/>
        <w:ind w:hanging="807"/>
        <w:jc w:val="both"/>
        <w:rPr>
          <w:lang w:val="ro-RO"/>
        </w:rPr>
      </w:pPr>
      <w:r w:rsidRPr="0023087C">
        <w:rPr>
          <w:lang w:val="ro-RO"/>
        </w:rPr>
        <w:t xml:space="preserve">Obiectivele granturilor, domeniile de intervenții, prioritățile anului și rezultatele așteptate </w:t>
      </w:r>
    </w:p>
    <w:p w:rsidR="001A0263" w:rsidRPr="0023087C" w:rsidRDefault="001A0263" w:rsidP="001A0263">
      <w:pPr>
        <w:spacing w:after="120"/>
        <w:jc w:val="both"/>
        <w:rPr>
          <w:lang w:val="ro-RO"/>
        </w:rPr>
      </w:pPr>
      <w:r w:rsidRPr="0023087C">
        <w:rPr>
          <w:lang w:val="ro-RO"/>
        </w:rPr>
        <w:t>Obiectivul granturilor este de a permite Organizațiilor cu implicarea Societății Civile (CSO-uri) de a supraveghea bugetul și de a participa la formularea și implementarea politicilor finanțelor prin facilitarea dialogului politic dintre autorități și CSO-uri.</w:t>
      </w:r>
    </w:p>
    <w:p w:rsidR="001A0263" w:rsidRPr="0023087C" w:rsidRDefault="001A0263" w:rsidP="001A0263">
      <w:pPr>
        <w:spacing w:after="120"/>
        <w:jc w:val="both"/>
        <w:rPr>
          <w:lang w:val="ro-RO"/>
        </w:rPr>
      </w:pPr>
      <w:r w:rsidRPr="0023087C">
        <w:rPr>
          <w:lang w:val="ro-RO"/>
        </w:rPr>
        <w:t>Rezultatele așteptate ale suportului complementar sunt:</w:t>
      </w:r>
    </w:p>
    <w:p w:rsidR="001A0263" w:rsidRPr="0023087C" w:rsidRDefault="001A0263" w:rsidP="001A0263">
      <w:pPr>
        <w:spacing w:before="60"/>
        <w:jc w:val="both"/>
        <w:rPr>
          <w:lang w:val="ro-RO"/>
        </w:rPr>
      </w:pPr>
      <w:r w:rsidRPr="0023087C">
        <w:rPr>
          <w:lang w:val="ro-RO"/>
        </w:rPr>
        <w:t xml:space="preserve">- Mărirea capacităților CSO-urilor locale de a supraveghea bugetul; </w:t>
      </w:r>
    </w:p>
    <w:p w:rsidR="001A0263" w:rsidRPr="0023087C" w:rsidRDefault="001A0263" w:rsidP="001A0263">
      <w:pPr>
        <w:spacing w:before="60"/>
        <w:jc w:val="both"/>
        <w:rPr>
          <w:lang w:val="ro-RO"/>
        </w:rPr>
      </w:pPr>
      <w:r w:rsidRPr="0023087C">
        <w:rPr>
          <w:lang w:val="ro-RO"/>
        </w:rPr>
        <w:t>- Îmbunătățirea capacităților CSO-urilor locale de a face parte la dialog și de a participa la problemele legate de administrarea economică și a finanțelor publice.</w:t>
      </w:r>
    </w:p>
    <w:p w:rsidR="001A0263" w:rsidRPr="0023087C" w:rsidRDefault="001A0263" w:rsidP="001A0263">
      <w:pPr>
        <w:pStyle w:val="4"/>
        <w:numPr>
          <w:ilvl w:val="4"/>
          <w:numId w:val="36"/>
        </w:numPr>
        <w:spacing w:before="120" w:after="120"/>
        <w:ind w:hanging="807"/>
        <w:jc w:val="both"/>
        <w:rPr>
          <w:lang w:val="ro-RO"/>
        </w:rPr>
      </w:pPr>
      <w:r w:rsidRPr="0023087C">
        <w:rPr>
          <w:lang w:val="ro-RO"/>
        </w:rPr>
        <w:t>Condițiile de eligibilitate</w:t>
      </w:r>
    </w:p>
    <w:p w:rsidR="001A0263" w:rsidRPr="0023087C" w:rsidRDefault="001A0263" w:rsidP="001A0263">
      <w:pPr>
        <w:spacing w:after="120"/>
        <w:jc w:val="both"/>
        <w:rPr>
          <w:lang w:val="ro-RO"/>
        </w:rPr>
      </w:pPr>
      <w:r w:rsidRPr="0023087C">
        <w:rPr>
          <w:lang w:val="ro-RO"/>
        </w:rPr>
        <w:t>- CSO-urile locale cu experiență și/sau interes în formularea, implementarea, monitorizarea și analiza administrării economice și a politicilor finanțelor publice vor fi eligibile pentru acest apel.</w:t>
      </w:r>
    </w:p>
    <w:p w:rsidR="001A0263" w:rsidRPr="0023087C" w:rsidRDefault="001A0263" w:rsidP="001A0263">
      <w:pPr>
        <w:spacing w:after="120"/>
        <w:jc w:val="both"/>
        <w:rPr>
          <w:i/>
          <w:lang w:val="ro-RO"/>
        </w:rPr>
      </w:pPr>
      <w:r w:rsidRPr="0023087C">
        <w:rPr>
          <w:lang w:val="ro-RO"/>
        </w:rPr>
        <w:t>- Pentru a mări capacitatea de expertiză și sau interes în acest domeniu, parteneriatele dintre CSO-urile internaționale și Moldovenești sunt binevenite.</w:t>
      </w:r>
    </w:p>
    <w:p w:rsidR="001A0263" w:rsidRPr="0023087C" w:rsidRDefault="001A0263" w:rsidP="001A0263">
      <w:pPr>
        <w:pStyle w:val="4"/>
        <w:numPr>
          <w:ilvl w:val="4"/>
          <w:numId w:val="36"/>
        </w:numPr>
        <w:spacing w:before="120" w:after="120"/>
        <w:ind w:hanging="807"/>
        <w:jc w:val="both"/>
        <w:rPr>
          <w:lang w:val="ro-RO"/>
        </w:rPr>
      </w:pPr>
      <w:r w:rsidRPr="0023087C">
        <w:rPr>
          <w:lang w:val="ro-RO"/>
        </w:rPr>
        <w:t xml:space="preserve">Criterii esențiale de selecție și acordare </w:t>
      </w:r>
    </w:p>
    <w:p w:rsidR="001A0263" w:rsidRPr="0023087C" w:rsidRDefault="001A0263" w:rsidP="001A0263">
      <w:pPr>
        <w:pStyle w:val="Text2"/>
        <w:spacing w:before="0"/>
        <w:ind w:left="0"/>
        <w:rPr>
          <w:lang w:val="ro-RO"/>
        </w:rPr>
      </w:pPr>
      <w:r w:rsidRPr="0023087C">
        <w:rPr>
          <w:lang w:val="ro-RO"/>
        </w:rPr>
        <w:t>Criteriile esențiale de selecție sunt capacitatea financiară și operațională a aplicantului.</w:t>
      </w:r>
    </w:p>
    <w:p w:rsidR="001A0263" w:rsidRPr="0023087C" w:rsidRDefault="001A0263" w:rsidP="001A0263">
      <w:pPr>
        <w:pStyle w:val="Text2"/>
        <w:spacing w:before="0"/>
        <w:ind w:left="0"/>
        <w:rPr>
          <w:lang w:val="ro-RO"/>
        </w:rPr>
      </w:pPr>
      <w:r w:rsidRPr="0023087C">
        <w:rPr>
          <w:lang w:val="ro-RO"/>
        </w:rPr>
        <w:t>Criteriile esențiale de acordare este relevanța acțiunii propuse în raport cu obiectivele apelului; design-ul, efectivitatea, fisibilitatea, sustenabilitatea și cost-eficacitatea acțiunii.</w:t>
      </w:r>
    </w:p>
    <w:p w:rsidR="001A0263" w:rsidRPr="0023087C" w:rsidRDefault="001A0263" w:rsidP="001A0263">
      <w:pPr>
        <w:pStyle w:val="4"/>
        <w:numPr>
          <w:ilvl w:val="4"/>
          <w:numId w:val="36"/>
        </w:numPr>
        <w:spacing w:before="120" w:after="120"/>
        <w:ind w:hanging="807"/>
        <w:jc w:val="both"/>
        <w:rPr>
          <w:lang w:val="ro-RO"/>
        </w:rPr>
      </w:pPr>
      <w:r w:rsidRPr="0023087C">
        <w:rPr>
          <w:lang w:val="ro-RO"/>
        </w:rPr>
        <w:t>Rata maximă de cofinanțare</w:t>
      </w:r>
    </w:p>
    <w:p w:rsidR="001A0263" w:rsidRPr="0023087C" w:rsidRDefault="001A0263" w:rsidP="001A0263">
      <w:pPr>
        <w:pStyle w:val="Text2"/>
        <w:ind w:left="0"/>
        <w:rPr>
          <w:lang w:val="ro-RO"/>
        </w:rPr>
      </w:pPr>
      <w:r w:rsidRPr="0023087C">
        <w:rPr>
          <w:lang w:val="ro-RO"/>
        </w:rPr>
        <w:t>Rata maximă de cofinanțarea a granturilor pentru acest apel este de 80% a costului eligibil al acțiunii.</w:t>
      </w:r>
    </w:p>
    <w:p w:rsidR="001A0263" w:rsidRPr="0023087C" w:rsidRDefault="001A0263" w:rsidP="001A0263">
      <w:pPr>
        <w:pStyle w:val="Text2"/>
        <w:ind w:left="0"/>
        <w:rPr>
          <w:lang w:val="ro-RO"/>
        </w:rPr>
      </w:pPr>
      <w:r w:rsidRPr="0023087C">
        <w:rPr>
          <w:lang w:val="ro-RO"/>
        </w:rPr>
        <w:t>Rata maximă de cofinanțare poate fi pînă la 100% în concordanță cu Articolul 192 a Regulamentului (EU, Euratom) Nr 966/2012 dacă finanțarea deplină este esențială pentru ca acțiunea să fie executată. Esențialitatea finanțării depline va fi justificată de Comisie în decizia de acordare, cu respect pentru principiile de tratament egal și buna gestiune financiară.</w:t>
      </w:r>
    </w:p>
    <w:p w:rsidR="001A0263" w:rsidRPr="0023087C" w:rsidRDefault="001A0263" w:rsidP="001A0263">
      <w:pPr>
        <w:pStyle w:val="4"/>
        <w:numPr>
          <w:ilvl w:val="4"/>
          <w:numId w:val="36"/>
        </w:numPr>
        <w:spacing w:before="120" w:after="120"/>
        <w:ind w:hanging="807"/>
        <w:jc w:val="both"/>
        <w:rPr>
          <w:lang w:val="ro-RO"/>
        </w:rPr>
      </w:pPr>
      <w:r w:rsidRPr="0023087C">
        <w:rPr>
          <w:lang w:val="ro-RO"/>
        </w:rPr>
        <w:lastRenderedPageBreak/>
        <w:t>Trimestrul indicativ al lansării apelului</w:t>
      </w:r>
    </w:p>
    <w:p w:rsidR="001A0263" w:rsidRPr="0023087C" w:rsidRDefault="001A0263" w:rsidP="001A0263">
      <w:pPr>
        <w:pStyle w:val="4"/>
        <w:ind w:left="850" w:hanging="850"/>
        <w:rPr>
          <w:rFonts w:ascii="Times New Roman" w:hAnsi="Times New Roman"/>
          <w:b w:val="0"/>
          <w:i/>
          <w:lang w:val="ro-RO"/>
        </w:rPr>
      </w:pPr>
      <w:r w:rsidRPr="0023087C">
        <w:rPr>
          <w:rFonts w:ascii="Times New Roman" w:hAnsi="Times New Roman"/>
          <w:b w:val="0"/>
          <w:lang w:val="ro-RO"/>
        </w:rPr>
        <w:t xml:space="preserve">1-ul trimetru al anului 2015 </w:t>
      </w:r>
    </w:p>
    <w:p w:rsidR="001A0263" w:rsidRPr="0023087C" w:rsidRDefault="001A0263" w:rsidP="001A0263">
      <w:pPr>
        <w:pStyle w:val="3"/>
        <w:tabs>
          <w:tab w:val="left" w:pos="851"/>
        </w:tabs>
        <w:spacing w:before="120" w:after="120"/>
        <w:ind w:left="851" w:hanging="851"/>
        <w:rPr>
          <w:b w:val="0"/>
          <w:lang w:val="ro-RO"/>
        </w:rPr>
      </w:pPr>
    </w:p>
    <w:p w:rsidR="001A0263" w:rsidRPr="0023087C" w:rsidRDefault="001A0263" w:rsidP="001A0263">
      <w:pPr>
        <w:pStyle w:val="3"/>
        <w:tabs>
          <w:tab w:val="left" w:pos="851"/>
        </w:tabs>
        <w:spacing w:before="120" w:after="120"/>
        <w:ind w:left="851" w:hanging="851"/>
        <w:rPr>
          <w:b w:val="0"/>
          <w:lang w:val="ro-RO"/>
        </w:rPr>
      </w:pPr>
      <w:r w:rsidRPr="0023087C">
        <w:rPr>
          <w:b w:val="0"/>
          <w:lang w:val="ro-RO"/>
        </w:rPr>
        <w:t xml:space="preserve">2.4.2. </w:t>
      </w:r>
      <w:r w:rsidRPr="0023087C">
        <w:rPr>
          <w:b w:val="0"/>
          <w:lang w:val="ro-RO"/>
        </w:rPr>
        <w:tab/>
        <w:t>Procurarea (managementul direct implementat de Comisie ca Autoritate Contractoare)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1760"/>
        <w:gridCol w:w="1276"/>
        <w:gridCol w:w="2268"/>
      </w:tblGrid>
      <w:tr w:rsidR="001A0263" w:rsidRPr="0023087C" w:rsidTr="001A0263">
        <w:tc>
          <w:tcPr>
            <w:tcW w:w="3910" w:type="dxa"/>
            <w:shd w:val="clear" w:color="auto" w:fill="auto"/>
          </w:tcPr>
          <w:p w:rsidR="001A0263" w:rsidRPr="0023087C" w:rsidRDefault="001A0263" w:rsidP="001A0263">
            <w:pPr>
              <w:spacing w:before="120" w:after="120"/>
              <w:jc w:val="center"/>
              <w:rPr>
                <w:sz w:val="22"/>
                <w:szCs w:val="22"/>
                <w:lang w:val="ro-RO"/>
              </w:rPr>
            </w:pPr>
            <w:r w:rsidRPr="0023087C">
              <w:rPr>
                <w:sz w:val="22"/>
                <w:szCs w:val="22"/>
                <w:lang w:val="ro-RO"/>
              </w:rPr>
              <w:t>Subiectul în termeni generici</w:t>
            </w:r>
          </w:p>
        </w:tc>
        <w:tc>
          <w:tcPr>
            <w:tcW w:w="1760" w:type="dxa"/>
            <w:shd w:val="clear" w:color="auto" w:fill="auto"/>
          </w:tcPr>
          <w:p w:rsidR="001A0263" w:rsidRPr="0023087C" w:rsidRDefault="001A0263" w:rsidP="001A0263">
            <w:pPr>
              <w:spacing w:before="120" w:after="120"/>
              <w:jc w:val="center"/>
              <w:rPr>
                <w:sz w:val="22"/>
                <w:szCs w:val="22"/>
                <w:lang w:val="ro-RO"/>
              </w:rPr>
            </w:pPr>
            <w:r w:rsidRPr="0023087C">
              <w:rPr>
                <w:sz w:val="22"/>
                <w:szCs w:val="22"/>
                <w:lang w:val="ro-RO"/>
              </w:rPr>
              <w:t>Tipul (lucrări, furnizări, servicii)</w:t>
            </w:r>
          </w:p>
        </w:tc>
        <w:tc>
          <w:tcPr>
            <w:tcW w:w="1276" w:type="dxa"/>
            <w:shd w:val="clear" w:color="auto" w:fill="auto"/>
          </w:tcPr>
          <w:p w:rsidR="001A0263" w:rsidRPr="0023087C" w:rsidRDefault="001A0263" w:rsidP="001A0263">
            <w:pPr>
              <w:spacing w:before="120" w:after="120"/>
              <w:jc w:val="center"/>
              <w:rPr>
                <w:sz w:val="22"/>
                <w:szCs w:val="22"/>
                <w:lang w:val="ro-RO"/>
              </w:rPr>
            </w:pPr>
            <w:r w:rsidRPr="0023087C">
              <w:rPr>
                <w:sz w:val="22"/>
                <w:szCs w:val="22"/>
                <w:lang w:val="ro-RO"/>
              </w:rPr>
              <w:t>Numărul indicativ de contracte</w:t>
            </w:r>
          </w:p>
        </w:tc>
        <w:tc>
          <w:tcPr>
            <w:tcW w:w="2268" w:type="dxa"/>
            <w:shd w:val="clear" w:color="auto" w:fill="auto"/>
          </w:tcPr>
          <w:p w:rsidR="001A0263" w:rsidRPr="0023087C" w:rsidRDefault="001A0263" w:rsidP="001A0263">
            <w:pPr>
              <w:spacing w:before="120" w:after="120"/>
              <w:jc w:val="center"/>
              <w:rPr>
                <w:sz w:val="22"/>
                <w:szCs w:val="22"/>
                <w:lang w:val="ro-RO"/>
              </w:rPr>
            </w:pPr>
            <w:r w:rsidRPr="0023087C">
              <w:rPr>
                <w:sz w:val="22"/>
                <w:szCs w:val="22"/>
                <w:lang w:val="ro-RO"/>
              </w:rPr>
              <w:t>Trimestrul indicativ de lansare a procedurii</w:t>
            </w:r>
          </w:p>
        </w:tc>
      </w:tr>
      <w:tr w:rsidR="001A0263" w:rsidRPr="0023087C" w:rsidTr="001A0263">
        <w:tc>
          <w:tcPr>
            <w:tcW w:w="3910" w:type="dxa"/>
            <w:shd w:val="clear" w:color="auto" w:fill="auto"/>
          </w:tcPr>
          <w:p w:rsidR="001A0263" w:rsidRPr="0023087C" w:rsidRDefault="001A0263" w:rsidP="001A0263">
            <w:pPr>
              <w:spacing w:before="120" w:after="120"/>
              <w:rPr>
                <w:sz w:val="22"/>
                <w:szCs w:val="22"/>
                <w:lang w:val="ro-RO"/>
              </w:rPr>
            </w:pPr>
            <w:r w:rsidRPr="0023087C">
              <w:rPr>
                <w:sz w:val="22"/>
                <w:szCs w:val="22"/>
                <w:lang w:val="ro-RO"/>
              </w:rPr>
              <w:t>Asistență tehnică pentru Îmbunătățirea Politicilor Finanțelor Publice și Managementul Finanțelor Publice al Moldovei</w:t>
            </w:r>
          </w:p>
        </w:tc>
        <w:tc>
          <w:tcPr>
            <w:tcW w:w="1760" w:type="dxa"/>
            <w:shd w:val="clear" w:color="auto" w:fill="auto"/>
            <w:vAlign w:val="center"/>
          </w:tcPr>
          <w:p w:rsidR="001A0263" w:rsidRPr="0023087C" w:rsidRDefault="001A0263" w:rsidP="001A0263">
            <w:pPr>
              <w:spacing w:before="120" w:after="120"/>
              <w:jc w:val="center"/>
              <w:rPr>
                <w:sz w:val="22"/>
                <w:szCs w:val="22"/>
                <w:lang w:val="ro-RO"/>
              </w:rPr>
            </w:pPr>
            <w:r w:rsidRPr="0023087C">
              <w:rPr>
                <w:sz w:val="22"/>
                <w:szCs w:val="22"/>
                <w:lang w:val="ro-RO"/>
              </w:rPr>
              <w:t>Servicii</w:t>
            </w:r>
          </w:p>
        </w:tc>
        <w:tc>
          <w:tcPr>
            <w:tcW w:w="1276" w:type="dxa"/>
            <w:shd w:val="clear" w:color="auto" w:fill="auto"/>
            <w:vAlign w:val="center"/>
          </w:tcPr>
          <w:p w:rsidR="001A0263" w:rsidRPr="0023087C" w:rsidRDefault="001A0263" w:rsidP="001A0263">
            <w:pPr>
              <w:spacing w:before="120" w:after="120"/>
              <w:jc w:val="center"/>
              <w:rPr>
                <w:sz w:val="22"/>
                <w:szCs w:val="22"/>
                <w:lang w:val="ro-RO"/>
              </w:rPr>
            </w:pPr>
            <w:r w:rsidRPr="0023087C">
              <w:rPr>
                <w:sz w:val="22"/>
                <w:szCs w:val="22"/>
                <w:lang w:val="ro-RO"/>
              </w:rPr>
              <w:t>1</w:t>
            </w:r>
          </w:p>
        </w:tc>
        <w:tc>
          <w:tcPr>
            <w:tcW w:w="2268" w:type="dxa"/>
            <w:shd w:val="clear" w:color="auto" w:fill="auto"/>
            <w:vAlign w:val="center"/>
          </w:tcPr>
          <w:p w:rsidR="001A0263" w:rsidRPr="0023087C" w:rsidRDefault="001A0263" w:rsidP="001A0263">
            <w:pPr>
              <w:spacing w:before="120" w:after="120"/>
              <w:jc w:val="center"/>
              <w:rPr>
                <w:sz w:val="22"/>
                <w:szCs w:val="22"/>
                <w:lang w:val="ro-RO"/>
              </w:rPr>
            </w:pPr>
            <w:r w:rsidRPr="0023087C">
              <w:rPr>
                <w:sz w:val="22"/>
                <w:szCs w:val="22"/>
                <w:lang w:val="ro-RO"/>
              </w:rPr>
              <w:t>T1 2015</w:t>
            </w:r>
          </w:p>
        </w:tc>
      </w:tr>
      <w:tr w:rsidR="001A0263" w:rsidRPr="0023087C" w:rsidTr="001A0263">
        <w:tc>
          <w:tcPr>
            <w:tcW w:w="3910" w:type="dxa"/>
            <w:shd w:val="clear" w:color="auto" w:fill="auto"/>
          </w:tcPr>
          <w:p w:rsidR="001A0263" w:rsidRPr="0023087C" w:rsidRDefault="001A0263" w:rsidP="001A0263">
            <w:pPr>
              <w:spacing w:before="120" w:after="120"/>
              <w:jc w:val="both"/>
              <w:rPr>
                <w:sz w:val="22"/>
                <w:szCs w:val="22"/>
                <w:lang w:val="ro-RO"/>
              </w:rPr>
            </w:pPr>
            <w:r w:rsidRPr="0023087C">
              <w:rPr>
                <w:sz w:val="22"/>
                <w:szCs w:val="22"/>
                <w:lang w:val="ro-RO"/>
              </w:rPr>
              <w:t>Evaluare și Audit</w:t>
            </w:r>
          </w:p>
        </w:tc>
        <w:tc>
          <w:tcPr>
            <w:tcW w:w="1760" w:type="dxa"/>
            <w:shd w:val="clear" w:color="auto" w:fill="auto"/>
          </w:tcPr>
          <w:p w:rsidR="001A0263" w:rsidRPr="0023087C" w:rsidRDefault="001A0263" w:rsidP="001A0263">
            <w:pPr>
              <w:spacing w:before="120" w:after="120"/>
              <w:jc w:val="center"/>
              <w:rPr>
                <w:sz w:val="22"/>
                <w:szCs w:val="22"/>
                <w:lang w:val="ro-RO"/>
              </w:rPr>
            </w:pPr>
            <w:r w:rsidRPr="0023087C">
              <w:rPr>
                <w:sz w:val="22"/>
                <w:szCs w:val="22"/>
                <w:lang w:val="ro-RO"/>
              </w:rPr>
              <w:t>Servicii</w:t>
            </w:r>
          </w:p>
        </w:tc>
        <w:tc>
          <w:tcPr>
            <w:tcW w:w="1276" w:type="dxa"/>
            <w:shd w:val="clear" w:color="auto" w:fill="auto"/>
          </w:tcPr>
          <w:p w:rsidR="001A0263" w:rsidRPr="0023087C" w:rsidRDefault="001A0263" w:rsidP="001A0263">
            <w:pPr>
              <w:spacing w:before="120" w:after="120"/>
              <w:jc w:val="center"/>
              <w:rPr>
                <w:sz w:val="22"/>
                <w:szCs w:val="22"/>
                <w:lang w:val="ro-RO"/>
              </w:rPr>
            </w:pPr>
            <w:r w:rsidRPr="0023087C">
              <w:rPr>
                <w:sz w:val="22"/>
                <w:szCs w:val="22"/>
                <w:lang w:val="ro-RO"/>
              </w:rPr>
              <w:t>2</w:t>
            </w:r>
          </w:p>
        </w:tc>
        <w:tc>
          <w:tcPr>
            <w:tcW w:w="2268" w:type="dxa"/>
            <w:shd w:val="clear" w:color="auto" w:fill="auto"/>
          </w:tcPr>
          <w:p w:rsidR="001A0263" w:rsidRPr="0023087C" w:rsidRDefault="001A0263" w:rsidP="001A0263">
            <w:pPr>
              <w:spacing w:before="120" w:after="120"/>
              <w:jc w:val="center"/>
              <w:rPr>
                <w:sz w:val="22"/>
                <w:szCs w:val="22"/>
                <w:lang w:val="ro-RO"/>
              </w:rPr>
            </w:pPr>
            <w:r w:rsidRPr="0023087C">
              <w:rPr>
                <w:sz w:val="22"/>
                <w:szCs w:val="22"/>
                <w:lang w:val="ro-RO"/>
              </w:rPr>
              <w:t>T1 2018</w:t>
            </w:r>
          </w:p>
        </w:tc>
      </w:tr>
    </w:tbl>
    <w:p w:rsidR="001A0263" w:rsidRPr="0023087C" w:rsidRDefault="001A0263" w:rsidP="001A0263">
      <w:pPr>
        <w:rPr>
          <w:lang w:val="ro-RO"/>
        </w:rPr>
      </w:pPr>
    </w:p>
    <w:p w:rsidR="001A0263" w:rsidRPr="0023087C" w:rsidRDefault="001A0263" w:rsidP="001A0263">
      <w:pPr>
        <w:pStyle w:val="20"/>
        <w:tabs>
          <w:tab w:val="left" w:pos="0"/>
          <w:tab w:val="left" w:pos="851"/>
        </w:tabs>
        <w:rPr>
          <w:szCs w:val="24"/>
          <w:lang w:val="ro-RO"/>
        </w:rPr>
      </w:pPr>
      <w:r w:rsidRPr="0023087C">
        <w:rPr>
          <w:szCs w:val="24"/>
          <w:lang w:val="ro-RO"/>
        </w:rPr>
        <w:t xml:space="preserve">2.4.6. </w:t>
      </w:r>
      <w:r w:rsidRPr="0023087C">
        <w:rPr>
          <w:szCs w:val="24"/>
          <w:lang w:val="ro-RO"/>
        </w:rPr>
        <w:tab/>
        <w:t xml:space="preserve">Scopul de eligibilitate geografică pentru achiziții și granturi </w:t>
      </w:r>
    </w:p>
    <w:p w:rsidR="001A0263" w:rsidRPr="0023087C" w:rsidRDefault="001A0263" w:rsidP="001A0263">
      <w:pPr>
        <w:pStyle w:val="20"/>
        <w:tabs>
          <w:tab w:val="left" w:pos="851"/>
        </w:tabs>
        <w:rPr>
          <w:szCs w:val="24"/>
          <w:lang w:val="ro-RO"/>
        </w:rPr>
      </w:pPr>
    </w:p>
    <w:p w:rsidR="001A0263" w:rsidRPr="0023087C" w:rsidRDefault="001A0263" w:rsidP="001A0263">
      <w:pPr>
        <w:pStyle w:val="Text2"/>
        <w:spacing w:before="0"/>
        <w:ind w:left="0"/>
        <w:rPr>
          <w:lang w:val="ro-RO"/>
        </w:rPr>
      </w:pPr>
      <w:r w:rsidRPr="0023087C">
        <w:rPr>
          <w:lang w:val="ro-RO"/>
        </w:rPr>
        <w:t>Eligibilitatea geografică în termeni de locul de înființare pentru participarea la procedurile de achiziționare și acordare a grantului în termeni de originea rechizitelor procurate precum e stabilit în actul de bază urmează a fi aplicate.</w:t>
      </w:r>
    </w:p>
    <w:p w:rsidR="001A0263" w:rsidRPr="0023087C" w:rsidRDefault="001A0263" w:rsidP="001A0263">
      <w:pPr>
        <w:pStyle w:val="20"/>
        <w:tabs>
          <w:tab w:val="left" w:pos="851"/>
        </w:tabs>
        <w:rPr>
          <w:szCs w:val="24"/>
          <w:lang w:val="ro-RO"/>
        </w:rPr>
      </w:pPr>
    </w:p>
    <w:p w:rsidR="001A0263" w:rsidRPr="0023087C" w:rsidRDefault="001A0263" w:rsidP="001A0263">
      <w:pPr>
        <w:pStyle w:val="20"/>
        <w:tabs>
          <w:tab w:val="left" w:pos="851"/>
        </w:tabs>
        <w:rPr>
          <w:szCs w:val="24"/>
          <w:lang w:val="ro-RO"/>
        </w:rPr>
      </w:pPr>
      <w:r w:rsidRPr="0023087C">
        <w:rPr>
          <w:szCs w:val="24"/>
          <w:lang w:val="ro-RO"/>
        </w:rPr>
        <w:t xml:space="preserve">2.5. </w:t>
      </w:r>
      <w:r w:rsidRPr="0023087C">
        <w:rPr>
          <w:szCs w:val="24"/>
          <w:lang w:val="ro-RO"/>
        </w:rPr>
        <w:tab/>
        <w:t>Bugetul Indicativ</w:t>
      </w:r>
    </w:p>
    <w:p w:rsidR="001A0263" w:rsidRPr="0023087C" w:rsidRDefault="001A0263" w:rsidP="001A0263">
      <w:pPr>
        <w:tabs>
          <w:tab w:val="left" w:pos="511"/>
        </w:tabs>
        <w:jc w:val="both"/>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1589"/>
        <w:gridCol w:w="1476"/>
      </w:tblGrid>
      <w:tr w:rsidR="001A0263" w:rsidRPr="0023087C" w:rsidTr="001A0263">
        <w:tc>
          <w:tcPr>
            <w:tcW w:w="5994" w:type="dxa"/>
            <w:shd w:val="clear" w:color="auto" w:fill="auto"/>
          </w:tcPr>
          <w:p w:rsidR="001A0263" w:rsidRPr="0023087C" w:rsidRDefault="001A0263" w:rsidP="001A0263">
            <w:pPr>
              <w:pStyle w:val="Text2"/>
              <w:spacing w:before="60" w:after="60"/>
              <w:ind w:left="0"/>
              <w:jc w:val="center"/>
              <w:rPr>
                <w:b/>
                <w:sz w:val="20"/>
                <w:lang w:val="ro-RO"/>
              </w:rPr>
            </w:pPr>
            <w:r w:rsidRPr="0023087C">
              <w:rPr>
                <w:b/>
                <w:sz w:val="20"/>
                <w:lang w:val="ro-RO"/>
              </w:rPr>
              <w:t>Modul</w:t>
            </w:r>
          </w:p>
        </w:tc>
        <w:tc>
          <w:tcPr>
            <w:tcW w:w="1661" w:type="dxa"/>
            <w:shd w:val="clear" w:color="auto" w:fill="auto"/>
          </w:tcPr>
          <w:p w:rsidR="001A0263" w:rsidRPr="0023087C" w:rsidRDefault="001A0263" w:rsidP="001A0263">
            <w:pPr>
              <w:pStyle w:val="Text2"/>
              <w:spacing w:before="60" w:after="60"/>
              <w:ind w:left="0"/>
              <w:jc w:val="center"/>
              <w:rPr>
                <w:b/>
                <w:sz w:val="20"/>
                <w:lang w:val="ro-RO"/>
              </w:rPr>
            </w:pPr>
            <w:r w:rsidRPr="0023087C">
              <w:rPr>
                <w:b/>
                <w:sz w:val="20"/>
                <w:lang w:val="ro-RO"/>
              </w:rPr>
              <w:t>Contribuția UE (în milioane de euro)</w:t>
            </w:r>
          </w:p>
        </w:tc>
        <w:tc>
          <w:tcPr>
            <w:tcW w:w="1526" w:type="dxa"/>
            <w:shd w:val="clear" w:color="auto" w:fill="auto"/>
          </w:tcPr>
          <w:p w:rsidR="001A0263" w:rsidRPr="0023087C" w:rsidRDefault="001A0263" w:rsidP="001A0263">
            <w:pPr>
              <w:pStyle w:val="Text2"/>
              <w:spacing w:before="60" w:after="60"/>
              <w:ind w:left="0"/>
              <w:jc w:val="center"/>
              <w:rPr>
                <w:b/>
                <w:sz w:val="20"/>
                <w:lang w:val="ro-RO"/>
              </w:rPr>
            </w:pPr>
            <w:r w:rsidRPr="0023087C">
              <w:rPr>
                <w:b/>
                <w:sz w:val="20"/>
                <w:lang w:val="ro-RO"/>
              </w:rPr>
              <w:t>Contribuția părților terțe (în milioane de euro, indicativ)</w:t>
            </w:r>
          </w:p>
        </w:tc>
      </w:tr>
      <w:tr w:rsidR="001A0263" w:rsidRPr="0023087C" w:rsidTr="001A0263">
        <w:tc>
          <w:tcPr>
            <w:tcW w:w="5994" w:type="dxa"/>
            <w:shd w:val="clear" w:color="auto" w:fill="auto"/>
          </w:tcPr>
          <w:p w:rsidR="001A0263" w:rsidRPr="0023087C" w:rsidRDefault="001A0263" w:rsidP="001A0263">
            <w:pPr>
              <w:pStyle w:val="Text2"/>
              <w:spacing w:before="60" w:after="60"/>
              <w:ind w:left="0"/>
              <w:rPr>
                <w:b/>
                <w:sz w:val="22"/>
                <w:szCs w:val="22"/>
                <w:lang w:val="ro-RO"/>
              </w:rPr>
            </w:pPr>
            <w:r w:rsidRPr="0023087C">
              <w:rPr>
                <w:b/>
                <w:sz w:val="22"/>
                <w:szCs w:val="22"/>
                <w:lang w:val="ro-RO"/>
              </w:rPr>
              <w:t xml:space="preserve">2.5.1 – Suport bugetar </w:t>
            </w:r>
          </w:p>
        </w:tc>
        <w:tc>
          <w:tcPr>
            <w:tcW w:w="1661" w:type="dxa"/>
            <w:shd w:val="clear" w:color="auto" w:fill="auto"/>
          </w:tcPr>
          <w:p w:rsidR="001A0263" w:rsidRPr="0023087C" w:rsidRDefault="001A0263" w:rsidP="001A0263">
            <w:pPr>
              <w:pStyle w:val="Text2"/>
              <w:spacing w:before="60" w:after="60"/>
              <w:ind w:left="0"/>
              <w:jc w:val="right"/>
              <w:rPr>
                <w:b/>
                <w:sz w:val="22"/>
                <w:szCs w:val="22"/>
                <w:lang w:val="ro-RO"/>
              </w:rPr>
            </w:pPr>
            <w:r w:rsidRPr="0023087C">
              <w:rPr>
                <w:b/>
                <w:sz w:val="22"/>
                <w:szCs w:val="22"/>
                <w:lang w:val="ro-RO"/>
              </w:rPr>
              <w:t>33</w:t>
            </w:r>
          </w:p>
        </w:tc>
        <w:tc>
          <w:tcPr>
            <w:tcW w:w="1526" w:type="dxa"/>
          </w:tcPr>
          <w:p w:rsidR="001A0263" w:rsidRPr="0023087C" w:rsidRDefault="001A0263" w:rsidP="001A0263">
            <w:pPr>
              <w:pStyle w:val="Text2"/>
              <w:spacing w:before="60" w:after="60"/>
              <w:ind w:left="0"/>
              <w:jc w:val="right"/>
              <w:rPr>
                <w:b/>
                <w:sz w:val="22"/>
                <w:szCs w:val="22"/>
                <w:lang w:val="ro-RO"/>
              </w:rPr>
            </w:pPr>
            <w:r w:rsidRPr="0023087C">
              <w:rPr>
                <w:b/>
                <w:sz w:val="22"/>
                <w:szCs w:val="22"/>
                <w:lang w:val="ro-RO"/>
              </w:rPr>
              <w:t>-</w:t>
            </w:r>
          </w:p>
        </w:tc>
      </w:tr>
      <w:tr w:rsidR="001A0263" w:rsidRPr="0023087C" w:rsidTr="001A0263">
        <w:tc>
          <w:tcPr>
            <w:tcW w:w="5994" w:type="dxa"/>
            <w:shd w:val="clear" w:color="auto" w:fill="auto"/>
          </w:tcPr>
          <w:p w:rsidR="001A0263" w:rsidRPr="0023087C" w:rsidRDefault="001A0263" w:rsidP="001A0263">
            <w:pPr>
              <w:pStyle w:val="Text2"/>
              <w:spacing w:before="60" w:after="60"/>
              <w:ind w:left="0"/>
              <w:rPr>
                <w:b/>
                <w:sz w:val="22"/>
                <w:szCs w:val="22"/>
                <w:lang w:val="ro-RO"/>
              </w:rPr>
            </w:pPr>
            <w:r w:rsidRPr="0023087C">
              <w:rPr>
                <w:b/>
                <w:sz w:val="22"/>
                <w:szCs w:val="22"/>
                <w:lang w:val="ro-RO"/>
              </w:rPr>
              <w:t>2.5.2. – Suport Complementar</w:t>
            </w:r>
          </w:p>
        </w:tc>
        <w:tc>
          <w:tcPr>
            <w:tcW w:w="1661" w:type="dxa"/>
            <w:shd w:val="clear" w:color="auto" w:fill="auto"/>
          </w:tcPr>
          <w:p w:rsidR="001A0263" w:rsidRPr="0023087C" w:rsidRDefault="001A0263" w:rsidP="001A0263">
            <w:pPr>
              <w:pStyle w:val="Text2"/>
              <w:spacing w:before="60" w:after="60"/>
              <w:ind w:left="0"/>
              <w:jc w:val="right"/>
              <w:rPr>
                <w:b/>
                <w:sz w:val="22"/>
                <w:szCs w:val="22"/>
                <w:lang w:val="ro-RO"/>
              </w:rPr>
            </w:pPr>
            <w:r w:rsidRPr="0023087C">
              <w:rPr>
                <w:b/>
                <w:sz w:val="22"/>
                <w:szCs w:val="22"/>
                <w:lang w:val="ro-RO"/>
              </w:rPr>
              <w:t>4</w:t>
            </w:r>
          </w:p>
        </w:tc>
        <w:tc>
          <w:tcPr>
            <w:tcW w:w="1526" w:type="dxa"/>
          </w:tcPr>
          <w:p w:rsidR="001A0263" w:rsidRPr="0023087C" w:rsidRDefault="001A0263" w:rsidP="001A0263">
            <w:pPr>
              <w:pStyle w:val="Text2"/>
              <w:spacing w:before="60" w:after="60"/>
              <w:ind w:left="0"/>
              <w:jc w:val="right"/>
              <w:rPr>
                <w:b/>
                <w:sz w:val="22"/>
                <w:szCs w:val="22"/>
                <w:lang w:val="ro-RO"/>
              </w:rPr>
            </w:pPr>
            <w:r w:rsidRPr="0023087C">
              <w:rPr>
                <w:b/>
                <w:sz w:val="22"/>
                <w:szCs w:val="22"/>
                <w:lang w:val="ro-RO"/>
              </w:rPr>
              <w:t>0.0625</w:t>
            </w:r>
          </w:p>
        </w:tc>
      </w:tr>
      <w:tr w:rsidR="001A0263" w:rsidRPr="0023087C" w:rsidTr="001A0263">
        <w:tc>
          <w:tcPr>
            <w:tcW w:w="5994" w:type="dxa"/>
            <w:shd w:val="clear" w:color="auto" w:fill="auto"/>
          </w:tcPr>
          <w:p w:rsidR="001A0263" w:rsidRPr="0023087C" w:rsidRDefault="001A0263" w:rsidP="001A0263">
            <w:pPr>
              <w:pStyle w:val="Text2"/>
              <w:spacing w:before="60" w:after="60"/>
              <w:ind w:left="0"/>
              <w:rPr>
                <w:sz w:val="22"/>
                <w:lang w:val="ro-RO"/>
              </w:rPr>
            </w:pPr>
            <w:r w:rsidRPr="0023087C">
              <w:rPr>
                <w:sz w:val="22"/>
                <w:lang w:val="ro-RO"/>
              </w:rPr>
              <w:t>2.5.2.1.</w:t>
            </w:r>
            <w:r w:rsidRPr="0023087C">
              <w:rPr>
                <w:b/>
                <w:sz w:val="22"/>
                <w:lang w:val="ro-RO"/>
              </w:rPr>
              <w:t xml:space="preserve"> </w:t>
            </w:r>
            <w:r w:rsidRPr="0023087C">
              <w:rPr>
                <w:b/>
                <w:sz w:val="22"/>
                <w:szCs w:val="22"/>
                <w:lang w:val="ro-RO"/>
              </w:rPr>
              <w:t>-</w:t>
            </w:r>
            <w:r w:rsidRPr="0023087C">
              <w:rPr>
                <w:sz w:val="22"/>
                <w:lang w:val="ro-RO"/>
              </w:rPr>
              <w:t xml:space="preserve"> Apel de propuneri ”Întărirea rolului societății civile în administrarea economică și managementul finanțelor publice” (management direct)</w:t>
            </w:r>
          </w:p>
        </w:tc>
        <w:tc>
          <w:tcPr>
            <w:tcW w:w="1661" w:type="dxa"/>
            <w:shd w:val="clear" w:color="auto" w:fill="auto"/>
          </w:tcPr>
          <w:p w:rsidR="001A0263" w:rsidRPr="0023087C" w:rsidRDefault="001A0263" w:rsidP="001A0263">
            <w:pPr>
              <w:pStyle w:val="Text2"/>
              <w:spacing w:before="60" w:after="60"/>
              <w:ind w:left="0"/>
              <w:jc w:val="right"/>
              <w:rPr>
                <w:sz w:val="22"/>
                <w:lang w:val="ro-RO"/>
              </w:rPr>
            </w:pPr>
            <w:r w:rsidRPr="0023087C">
              <w:rPr>
                <w:sz w:val="22"/>
                <w:lang w:val="ro-RO"/>
              </w:rPr>
              <w:t>0.25</w:t>
            </w:r>
          </w:p>
        </w:tc>
        <w:tc>
          <w:tcPr>
            <w:tcW w:w="1526" w:type="dxa"/>
          </w:tcPr>
          <w:p w:rsidR="001A0263" w:rsidRPr="0023087C" w:rsidRDefault="001A0263" w:rsidP="001A0263">
            <w:pPr>
              <w:pStyle w:val="Text2"/>
              <w:spacing w:before="60" w:after="60"/>
              <w:ind w:left="0"/>
              <w:jc w:val="right"/>
              <w:rPr>
                <w:sz w:val="22"/>
                <w:lang w:val="ro-RO"/>
              </w:rPr>
            </w:pPr>
            <w:r w:rsidRPr="0023087C">
              <w:rPr>
                <w:sz w:val="22"/>
                <w:lang w:val="ro-RO"/>
              </w:rPr>
              <w:t>0.0625</w:t>
            </w:r>
          </w:p>
        </w:tc>
      </w:tr>
      <w:tr w:rsidR="001A0263" w:rsidRPr="0023087C" w:rsidTr="001A0263">
        <w:tc>
          <w:tcPr>
            <w:tcW w:w="5994" w:type="dxa"/>
            <w:shd w:val="clear" w:color="auto" w:fill="auto"/>
          </w:tcPr>
          <w:p w:rsidR="001A0263" w:rsidRPr="0023087C" w:rsidRDefault="001A0263" w:rsidP="001A0263">
            <w:pPr>
              <w:pStyle w:val="Text2"/>
              <w:spacing w:before="60" w:after="60"/>
              <w:ind w:left="0"/>
              <w:rPr>
                <w:sz w:val="22"/>
                <w:lang w:val="ro-RO"/>
              </w:rPr>
            </w:pPr>
            <w:r w:rsidRPr="0023087C">
              <w:rPr>
                <w:sz w:val="22"/>
                <w:szCs w:val="22"/>
                <w:lang w:val="ro-RO"/>
              </w:rPr>
              <w:t xml:space="preserve">2.5.2.2. </w:t>
            </w:r>
            <w:r w:rsidRPr="0023087C">
              <w:rPr>
                <w:b/>
                <w:sz w:val="22"/>
                <w:szCs w:val="22"/>
                <w:lang w:val="ro-RO"/>
              </w:rPr>
              <w:t>-</w:t>
            </w:r>
            <w:r w:rsidRPr="0023087C">
              <w:rPr>
                <w:sz w:val="22"/>
                <w:lang w:val="ro-RO"/>
              </w:rPr>
              <w:t xml:space="preserve"> Procurarea “</w:t>
            </w:r>
            <w:r w:rsidRPr="0023087C">
              <w:rPr>
                <w:sz w:val="22"/>
                <w:szCs w:val="22"/>
                <w:lang w:val="ro-RO"/>
              </w:rPr>
              <w:t>Asistenței tehnice pentru Îmbunătățirea Politicilor Finanțelor Publice și Managementul Finanțelor Publice al Moldovei</w:t>
            </w:r>
            <w:r w:rsidRPr="0023087C">
              <w:rPr>
                <w:sz w:val="22"/>
                <w:lang w:val="ro-RO"/>
              </w:rPr>
              <w:t>” (management direct)</w:t>
            </w:r>
          </w:p>
        </w:tc>
        <w:tc>
          <w:tcPr>
            <w:tcW w:w="1661" w:type="dxa"/>
            <w:shd w:val="clear" w:color="auto" w:fill="auto"/>
          </w:tcPr>
          <w:p w:rsidR="001A0263" w:rsidRPr="0023087C" w:rsidDel="008A2B28" w:rsidRDefault="001A0263" w:rsidP="001A0263">
            <w:pPr>
              <w:pStyle w:val="Text2"/>
              <w:spacing w:before="60" w:after="60"/>
              <w:ind w:left="0"/>
              <w:jc w:val="right"/>
              <w:rPr>
                <w:sz w:val="22"/>
                <w:lang w:val="ro-RO"/>
              </w:rPr>
            </w:pPr>
            <w:r w:rsidRPr="0023087C">
              <w:rPr>
                <w:sz w:val="22"/>
                <w:lang w:val="ro-RO"/>
              </w:rPr>
              <w:t>3.5</w:t>
            </w:r>
          </w:p>
        </w:tc>
        <w:tc>
          <w:tcPr>
            <w:tcW w:w="1526" w:type="dxa"/>
          </w:tcPr>
          <w:p w:rsidR="001A0263" w:rsidRPr="0023087C" w:rsidRDefault="001A0263" w:rsidP="001A0263">
            <w:pPr>
              <w:pStyle w:val="Text2"/>
              <w:spacing w:before="60" w:after="60"/>
              <w:ind w:left="0"/>
              <w:jc w:val="right"/>
              <w:rPr>
                <w:b/>
                <w:sz w:val="22"/>
                <w:lang w:val="ro-RO"/>
              </w:rPr>
            </w:pPr>
            <w:r w:rsidRPr="0023087C">
              <w:rPr>
                <w:b/>
                <w:sz w:val="22"/>
                <w:lang w:val="ro-RO"/>
              </w:rPr>
              <w:t>-</w:t>
            </w:r>
          </w:p>
        </w:tc>
      </w:tr>
      <w:tr w:rsidR="001A0263" w:rsidRPr="0023087C" w:rsidTr="001A0263">
        <w:tc>
          <w:tcPr>
            <w:tcW w:w="5994" w:type="dxa"/>
            <w:shd w:val="clear" w:color="auto" w:fill="auto"/>
          </w:tcPr>
          <w:p w:rsidR="001A0263" w:rsidRPr="0023087C" w:rsidRDefault="001A0263" w:rsidP="001A0263">
            <w:pPr>
              <w:pStyle w:val="Text2"/>
              <w:spacing w:before="60" w:after="60"/>
              <w:ind w:left="0"/>
              <w:rPr>
                <w:sz w:val="22"/>
                <w:lang w:val="ro-RO"/>
              </w:rPr>
            </w:pPr>
            <w:r w:rsidRPr="0023087C">
              <w:rPr>
                <w:sz w:val="22"/>
                <w:lang w:val="ro-RO"/>
              </w:rPr>
              <w:t>2.5.2.3. – Evaluare și Audit</w:t>
            </w:r>
          </w:p>
        </w:tc>
        <w:tc>
          <w:tcPr>
            <w:tcW w:w="1661" w:type="dxa"/>
            <w:shd w:val="clear" w:color="auto" w:fill="auto"/>
          </w:tcPr>
          <w:p w:rsidR="001A0263" w:rsidRPr="0023087C" w:rsidRDefault="001A0263" w:rsidP="001A0263">
            <w:pPr>
              <w:pStyle w:val="Text2"/>
              <w:spacing w:before="60" w:after="60"/>
              <w:ind w:left="0"/>
              <w:jc w:val="right"/>
              <w:rPr>
                <w:sz w:val="22"/>
                <w:lang w:val="ro-RO"/>
              </w:rPr>
            </w:pPr>
            <w:r w:rsidRPr="0023087C">
              <w:rPr>
                <w:sz w:val="22"/>
                <w:lang w:val="ro-RO"/>
              </w:rPr>
              <w:t>0.25</w:t>
            </w:r>
          </w:p>
        </w:tc>
        <w:tc>
          <w:tcPr>
            <w:tcW w:w="1526" w:type="dxa"/>
          </w:tcPr>
          <w:p w:rsidR="001A0263" w:rsidRPr="0023087C" w:rsidRDefault="001A0263" w:rsidP="001A0263">
            <w:pPr>
              <w:pStyle w:val="Text2"/>
              <w:spacing w:before="60" w:after="60"/>
              <w:ind w:left="0"/>
              <w:jc w:val="right"/>
              <w:rPr>
                <w:b/>
                <w:sz w:val="22"/>
                <w:lang w:val="ro-RO"/>
              </w:rPr>
            </w:pPr>
            <w:r w:rsidRPr="0023087C">
              <w:rPr>
                <w:b/>
                <w:sz w:val="22"/>
                <w:lang w:val="ro-RO"/>
              </w:rPr>
              <w:t>-</w:t>
            </w:r>
          </w:p>
        </w:tc>
      </w:tr>
      <w:tr w:rsidR="001A0263" w:rsidRPr="0023087C" w:rsidTr="001A0263">
        <w:tc>
          <w:tcPr>
            <w:tcW w:w="5994" w:type="dxa"/>
            <w:shd w:val="clear" w:color="auto" w:fill="auto"/>
          </w:tcPr>
          <w:p w:rsidR="001A0263" w:rsidRPr="0023087C" w:rsidRDefault="001A0263" w:rsidP="001A0263">
            <w:pPr>
              <w:pStyle w:val="Text2"/>
              <w:spacing w:before="60" w:after="60"/>
              <w:ind w:left="0"/>
              <w:rPr>
                <w:b/>
                <w:sz w:val="22"/>
                <w:lang w:val="ro-RO"/>
              </w:rPr>
            </w:pPr>
            <w:r w:rsidRPr="0023087C">
              <w:rPr>
                <w:b/>
                <w:sz w:val="22"/>
                <w:lang w:val="ro-RO"/>
              </w:rPr>
              <w:t>Totaluri</w:t>
            </w:r>
          </w:p>
        </w:tc>
        <w:tc>
          <w:tcPr>
            <w:tcW w:w="1661" w:type="dxa"/>
            <w:shd w:val="clear" w:color="auto" w:fill="auto"/>
          </w:tcPr>
          <w:p w:rsidR="001A0263" w:rsidRPr="0023087C" w:rsidRDefault="001A0263" w:rsidP="001A0263">
            <w:pPr>
              <w:pStyle w:val="Text2"/>
              <w:spacing w:before="60" w:after="60"/>
              <w:ind w:left="0"/>
              <w:jc w:val="right"/>
              <w:rPr>
                <w:b/>
                <w:sz w:val="22"/>
                <w:lang w:val="ro-RO"/>
              </w:rPr>
            </w:pPr>
            <w:r w:rsidRPr="0023087C">
              <w:rPr>
                <w:b/>
                <w:sz w:val="22"/>
                <w:lang w:val="ro-RO"/>
              </w:rPr>
              <w:t>37</w:t>
            </w:r>
          </w:p>
        </w:tc>
        <w:tc>
          <w:tcPr>
            <w:tcW w:w="1526" w:type="dxa"/>
          </w:tcPr>
          <w:p w:rsidR="001A0263" w:rsidRPr="0023087C" w:rsidRDefault="001A0263" w:rsidP="001A0263">
            <w:pPr>
              <w:pStyle w:val="Text2"/>
              <w:spacing w:before="60" w:after="60"/>
              <w:ind w:left="0"/>
              <w:jc w:val="right"/>
              <w:rPr>
                <w:b/>
                <w:sz w:val="22"/>
                <w:lang w:val="ro-RO"/>
              </w:rPr>
            </w:pPr>
            <w:r w:rsidRPr="0023087C">
              <w:rPr>
                <w:b/>
                <w:sz w:val="22"/>
                <w:lang w:val="ro-RO"/>
              </w:rPr>
              <w:t>0.0625</w:t>
            </w:r>
          </w:p>
        </w:tc>
      </w:tr>
    </w:tbl>
    <w:p w:rsidR="001A0263" w:rsidRPr="0023087C" w:rsidRDefault="001A0263" w:rsidP="001A0263">
      <w:pPr>
        <w:tabs>
          <w:tab w:val="left" w:pos="511"/>
        </w:tabs>
        <w:jc w:val="both"/>
        <w:rPr>
          <w:lang w:val="ro-RO"/>
        </w:rPr>
      </w:pPr>
    </w:p>
    <w:p w:rsidR="001A0263" w:rsidRPr="0023087C" w:rsidRDefault="001A0263" w:rsidP="001A0263">
      <w:pPr>
        <w:pStyle w:val="20"/>
        <w:numPr>
          <w:ilvl w:val="1"/>
          <w:numId w:val="0"/>
        </w:numPr>
        <w:tabs>
          <w:tab w:val="num" w:pos="970"/>
        </w:tabs>
        <w:ind w:left="970" w:hanging="970"/>
        <w:rPr>
          <w:szCs w:val="24"/>
          <w:lang w:val="ro-RO"/>
        </w:rPr>
      </w:pPr>
      <w:r w:rsidRPr="0023087C">
        <w:rPr>
          <w:szCs w:val="24"/>
          <w:lang w:val="ro-RO"/>
        </w:rPr>
        <w:t xml:space="preserve">2.6. </w:t>
      </w:r>
      <w:r w:rsidRPr="0023087C">
        <w:rPr>
          <w:szCs w:val="24"/>
          <w:lang w:val="ro-RO"/>
        </w:rPr>
        <w:tab/>
        <w:t xml:space="preserve">Monitorizarea performanței și coordonarea donatorilor </w:t>
      </w:r>
    </w:p>
    <w:p w:rsidR="001A0263" w:rsidRPr="0023087C" w:rsidRDefault="001A0263" w:rsidP="001A0263">
      <w:pPr>
        <w:spacing w:before="120"/>
        <w:jc w:val="both"/>
        <w:rPr>
          <w:bCs/>
          <w:lang w:val="ro-RO"/>
        </w:rPr>
      </w:pPr>
      <w:r w:rsidRPr="0023087C">
        <w:rPr>
          <w:bCs/>
          <w:lang w:val="ro-RO"/>
        </w:rPr>
        <w:t>Coordonarea donatorilor în Moldova este condusă de Guvernul Republicii Moldova. Este un mecanism oficial de coordonare a donatorilor aprobat de Guvern care stă la baza tuturor aspectelor procedurale și instituționale pentru coordonarea bilaterală și multilaterală a ajutoarelor externe</w:t>
      </w:r>
      <w:r w:rsidRPr="0023087C">
        <w:rPr>
          <w:rStyle w:val="ac"/>
          <w:bCs/>
          <w:lang w:val="ro-RO"/>
        </w:rPr>
        <w:footnoteReference w:id="1"/>
      </w:r>
      <w:r w:rsidRPr="0023087C">
        <w:rPr>
          <w:bCs/>
          <w:lang w:val="ro-RO"/>
        </w:rPr>
        <w:t xml:space="preserve">. În </w:t>
      </w:r>
      <w:r w:rsidRPr="0023087C">
        <w:rPr>
          <w:bCs/>
          <w:lang w:val="ro-RO"/>
        </w:rPr>
        <w:lastRenderedPageBreak/>
        <w:t>plus, Cancelaria de Stat organizează întîlniri anuale ale donatorilor și prezintă rapoarte anuale a utilizării asistenței externe acordate Moldovei.</w:t>
      </w:r>
    </w:p>
    <w:p w:rsidR="001A0263" w:rsidRPr="0023087C" w:rsidRDefault="001A0263" w:rsidP="001A0263">
      <w:pPr>
        <w:spacing w:before="120"/>
        <w:jc w:val="both"/>
        <w:rPr>
          <w:bCs/>
          <w:lang w:val="ro-RO"/>
        </w:rPr>
      </w:pPr>
      <w:r w:rsidRPr="0023087C">
        <w:rPr>
          <w:bCs/>
          <w:lang w:val="ro-RO"/>
        </w:rPr>
        <w:t>Sistemul existent de coordonare a donatorilor descris mai sus va fi utilizat și pentru acest Program.</w:t>
      </w:r>
    </w:p>
    <w:p w:rsidR="001A0263" w:rsidRPr="0023087C" w:rsidRDefault="001A0263" w:rsidP="001A0263">
      <w:pPr>
        <w:spacing w:before="120"/>
        <w:jc w:val="both"/>
        <w:rPr>
          <w:bCs/>
          <w:lang w:val="ro-RO"/>
        </w:rPr>
      </w:pPr>
      <w:r w:rsidRPr="0023087C">
        <w:rPr>
          <w:bCs/>
          <w:lang w:val="ro-RO"/>
        </w:rPr>
        <w:t>Monitorizarea Programului (pentru componenta de suport bugetar cat și pentru cea de asistență tehnică) va fi încredințată unei Comisiei de Coordonare prezidată de Cancelaria de Stat și ai cărei membri vor conține reprezentanți ai Comisiei Parlamentare Economie, Buget și Finanțe, ai Curții de Conturi și ai Ministerului Finanțelor. Reprezentanți ai CSO-urilor locale cu expertiză și/sau interes in domeniu vor fi de asemenea invitați la ședințele Comisiei. Comisia de Coordonare se va întîlni cel puțin o dată pe an.</w:t>
      </w:r>
    </w:p>
    <w:p w:rsidR="001A0263" w:rsidRPr="0023087C" w:rsidRDefault="001A0263" w:rsidP="001A0263">
      <w:pPr>
        <w:spacing w:before="120"/>
        <w:jc w:val="both"/>
        <w:rPr>
          <w:lang w:val="ro-RO"/>
        </w:rPr>
      </w:pPr>
      <w:r w:rsidRPr="0023087C">
        <w:rPr>
          <w:lang w:val="ro-RO"/>
        </w:rPr>
        <w:t xml:space="preserve">Misiuni de revizuire vor fi folosite pentru a aprecia stare c conformare a condițiilor și indicatorilor necesari pentru debursarea fiecărei tranșe variabile de suport bugetar prevăzut de program. </w:t>
      </w:r>
    </w:p>
    <w:p w:rsidR="001A0263" w:rsidRPr="0023087C" w:rsidRDefault="001A0263" w:rsidP="001A0263">
      <w:pPr>
        <w:pStyle w:val="1"/>
        <w:tabs>
          <w:tab w:val="num" w:pos="850"/>
        </w:tabs>
        <w:ind w:left="850" w:hanging="850"/>
        <w:rPr>
          <w:smallCaps/>
          <w:szCs w:val="24"/>
          <w:lang w:val="ro-RO"/>
        </w:rPr>
      </w:pPr>
      <w:r w:rsidRPr="0023087C">
        <w:rPr>
          <w:szCs w:val="24"/>
          <w:lang w:val="ro-RO"/>
        </w:rPr>
        <w:t xml:space="preserve">2.7.  </w:t>
      </w:r>
      <w:r w:rsidRPr="0023087C">
        <w:rPr>
          <w:szCs w:val="24"/>
          <w:lang w:val="ro-RO"/>
        </w:rPr>
        <w:tab/>
      </w:r>
      <w:r w:rsidRPr="0023087C">
        <w:rPr>
          <w:smallCaps/>
          <w:szCs w:val="24"/>
          <w:lang w:val="ro-RO"/>
        </w:rPr>
        <w:t xml:space="preserve">Evaluare și Audit </w:t>
      </w:r>
    </w:p>
    <w:p w:rsidR="001A0263" w:rsidRPr="0023087C" w:rsidRDefault="001A0263" w:rsidP="001A0263">
      <w:pPr>
        <w:spacing w:before="120" w:after="100" w:afterAutospacing="1"/>
        <w:jc w:val="both"/>
        <w:rPr>
          <w:lang w:val="ro-RO"/>
        </w:rPr>
      </w:pPr>
      <w:r w:rsidRPr="0023087C">
        <w:rPr>
          <w:lang w:val="ro-RO"/>
        </w:rPr>
        <w:t>Comisia Europeană prevede evaluarea și auditul după completarea Programului.</w:t>
      </w:r>
    </w:p>
    <w:p w:rsidR="001A0263" w:rsidRPr="0023087C" w:rsidRDefault="001A0263" w:rsidP="001A0263">
      <w:pPr>
        <w:spacing w:line="280" w:lineRule="atLeast"/>
        <w:jc w:val="both"/>
        <w:rPr>
          <w:lang w:val="ro-RO"/>
        </w:rPr>
      </w:pPr>
      <w:r w:rsidRPr="0023087C">
        <w:rPr>
          <w:lang w:val="ro-RO"/>
        </w:rPr>
        <w:t>Pentru suportul complementar, Comisia de asemenea poate conduce evaluări externe (prin intermediul consultanților independenți) după cum urmează:</w:t>
      </w:r>
    </w:p>
    <w:p w:rsidR="001A0263" w:rsidRPr="0023087C" w:rsidRDefault="001A0263" w:rsidP="001A0263">
      <w:pPr>
        <w:spacing w:line="280" w:lineRule="atLeast"/>
        <w:ind w:left="1571"/>
        <w:jc w:val="both"/>
        <w:rPr>
          <w:lang w:val="ro-RO"/>
        </w:rPr>
      </w:pPr>
      <w:r w:rsidRPr="0023087C">
        <w:rPr>
          <w:lang w:val="ro-RO"/>
        </w:rPr>
        <w:t>(a) [posibil] o evaluare a misiunii la mijloc de termen;</w:t>
      </w:r>
    </w:p>
    <w:p w:rsidR="001A0263" w:rsidRPr="0023087C" w:rsidRDefault="001A0263" w:rsidP="001A0263">
      <w:pPr>
        <w:spacing w:line="280" w:lineRule="atLeast"/>
        <w:ind w:left="1571"/>
        <w:jc w:val="both"/>
        <w:rPr>
          <w:lang w:val="ro-RO"/>
        </w:rPr>
      </w:pPr>
      <w:r w:rsidRPr="0023087C">
        <w:rPr>
          <w:lang w:val="ro-RO"/>
        </w:rPr>
        <w:t>(b) o evaluare finală, la început fazei de încheiere;</w:t>
      </w:r>
    </w:p>
    <w:p w:rsidR="001A0263" w:rsidRPr="0023087C" w:rsidRDefault="001A0263" w:rsidP="001A0263">
      <w:pPr>
        <w:spacing w:line="280" w:lineRule="atLeast"/>
        <w:ind w:left="1571"/>
        <w:jc w:val="both"/>
        <w:rPr>
          <w:lang w:val="ro-RO"/>
        </w:rPr>
      </w:pPr>
      <w:r w:rsidRPr="0023087C">
        <w:rPr>
          <w:lang w:val="ro-RO"/>
        </w:rPr>
        <w:t>(c) [posibil] o evaluare ex-post.</w:t>
      </w:r>
    </w:p>
    <w:p w:rsidR="001A0263" w:rsidRPr="0023087C" w:rsidRDefault="001A0263" w:rsidP="001A0263">
      <w:pPr>
        <w:spacing w:line="280" w:lineRule="atLeast"/>
        <w:jc w:val="both"/>
        <w:rPr>
          <w:lang w:val="ro-RO"/>
        </w:rPr>
      </w:pPr>
    </w:p>
    <w:p w:rsidR="001A0263" w:rsidRPr="0023087C" w:rsidRDefault="001A0263" w:rsidP="001A0263">
      <w:pPr>
        <w:spacing w:line="280" w:lineRule="atLeast"/>
        <w:jc w:val="both"/>
        <w:rPr>
          <w:lang w:val="ro-RO"/>
        </w:rPr>
      </w:pPr>
      <w:r w:rsidRPr="0023087C">
        <w:rPr>
          <w:lang w:val="ro-RO"/>
        </w:rPr>
        <w:t>Beneficiarul și Comisia urează să analizeze concluziile și recomandările evaluării de la mijloc de termen și să decidă împreună acțiunile ce trebuie întreprinse și ajustările necesare, ce includ, dacă va fi indicat, o reorientare a proiectului. Rapoartele de evaluare și monitorizare ale misiunii vor fi înmînate Beneficiarului, pentru ca să fie considerate toate recomandările ce urmează din asemenea misiuni.</w:t>
      </w:r>
    </w:p>
    <w:p w:rsidR="001A0263" w:rsidRPr="0023087C" w:rsidRDefault="001A0263" w:rsidP="001A0263">
      <w:pPr>
        <w:spacing w:line="280" w:lineRule="atLeast"/>
        <w:jc w:val="both"/>
        <w:rPr>
          <w:lang w:val="ro-RO"/>
        </w:rPr>
      </w:pPr>
    </w:p>
    <w:p w:rsidR="001A0263" w:rsidRPr="0023087C" w:rsidRDefault="001A0263" w:rsidP="001A0263">
      <w:pPr>
        <w:pStyle w:val="1"/>
        <w:tabs>
          <w:tab w:val="num" w:pos="850"/>
        </w:tabs>
        <w:ind w:left="850" w:hanging="850"/>
        <w:rPr>
          <w:smallCaps/>
          <w:szCs w:val="24"/>
          <w:lang w:val="ro-RO"/>
        </w:rPr>
      </w:pPr>
      <w:r w:rsidRPr="0023087C">
        <w:rPr>
          <w:szCs w:val="24"/>
          <w:lang w:val="ro-RO"/>
        </w:rPr>
        <w:t xml:space="preserve">2.8. </w:t>
      </w:r>
      <w:r w:rsidRPr="0023087C">
        <w:rPr>
          <w:smallCaps/>
          <w:szCs w:val="24"/>
          <w:lang w:val="ro-RO"/>
        </w:rPr>
        <w:t>Comunicare și vizibilitate</w:t>
      </w:r>
    </w:p>
    <w:p w:rsidR="001A0263" w:rsidRPr="0023087C" w:rsidRDefault="001A0263" w:rsidP="001A0263">
      <w:pPr>
        <w:pStyle w:val="Text1"/>
        <w:ind w:left="0"/>
        <w:rPr>
          <w:lang w:val="ro-RO"/>
        </w:rPr>
      </w:pPr>
      <w:r w:rsidRPr="0023087C">
        <w:rPr>
          <w:lang w:val="ro-RO"/>
        </w:rPr>
        <w:t>Comunicarea și vizibilitatea UE esteo obligațiune legală pentru toate acțiunile externe finanțate de UE.</w:t>
      </w:r>
    </w:p>
    <w:p w:rsidR="001A0263" w:rsidRPr="0023087C" w:rsidRDefault="001A0263" w:rsidP="001A0263">
      <w:pPr>
        <w:pStyle w:val="Text1"/>
        <w:ind w:left="0"/>
        <w:rPr>
          <w:lang w:val="ro-RO"/>
        </w:rPr>
      </w:pPr>
      <w:r w:rsidRPr="0023087C">
        <w:rPr>
          <w:lang w:val="ro-RO"/>
        </w:rPr>
        <w:t>Această acțiune urmează să conțină măsuri de comunicare și vizibilitate bazate pe un Plan specific de Comunicare și Vizibilitate al Acțiunii, ce va fi elaborat pînă la începerea implementării și susținut de bugetul indicat în secția 2.5 de mai sus.</w:t>
      </w:r>
    </w:p>
    <w:p w:rsidR="001A0263" w:rsidRPr="0023087C" w:rsidRDefault="001A0263" w:rsidP="001A0263">
      <w:pPr>
        <w:pStyle w:val="Text1"/>
        <w:ind w:left="0"/>
        <w:rPr>
          <w:lang w:val="ro-RO"/>
        </w:rPr>
      </w:pPr>
      <w:r w:rsidRPr="0023087C">
        <w:rPr>
          <w:lang w:val="ro-RO"/>
        </w:rPr>
        <w:t>Măsurile de comunicare și vizibilitate urmează să fie implementate de (a) Comisie și/sau (b) țara partener. Obligațiuni contractuale potrivite urmează să fie incluse în achizițiile și granturile respective.</w:t>
      </w:r>
    </w:p>
    <w:p w:rsidR="001A0263" w:rsidRPr="0023087C" w:rsidRDefault="001A0263" w:rsidP="001A0263">
      <w:pPr>
        <w:pStyle w:val="Text1"/>
        <w:ind w:left="0"/>
        <w:rPr>
          <w:lang w:val="ro-RO"/>
        </w:rPr>
      </w:pPr>
      <w:r w:rsidRPr="0023087C">
        <w:rPr>
          <w:lang w:val="ro-RO"/>
        </w:rPr>
        <w:t xml:space="preserve">Manualul de Comunicare și Vizibilitate pentru Acțiunile Externe ale Uniunii Europene urmează să fie folosit pentru stabilirea Planului de Comunicare și Vizibilitate al Acțiunii și al obligațiunilor contractuale respective. </w:t>
      </w:r>
    </w:p>
    <w:p w:rsidR="001A0263" w:rsidRPr="0023087C" w:rsidRDefault="001A0263" w:rsidP="001A0263">
      <w:pPr>
        <w:pStyle w:val="Text2"/>
        <w:ind w:left="0"/>
        <w:rPr>
          <w:lang w:val="ro-RO"/>
        </w:rPr>
      </w:pPr>
      <w:r w:rsidRPr="0023087C">
        <w:rPr>
          <w:lang w:val="ro-RO"/>
        </w:rPr>
        <w:t xml:space="preserve">Ca o parte din Acordul de Finanțare, Guvernul Moldovei se angajează să asigure că vizibilității contribuției UE la Contractul de Reformă al Sectorului (SRC) îi este acordată acoperire variată a publicității media. Contractul însoțitor de servicii de asistență tehnică va încerca de a întări imaginea pozitivă a UE în contextul activității sale în Moldova și dispoziții specifice cu acest scop vor fi incluse în contractul de servicii de asistență tehnică. </w:t>
      </w:r>
    </w:p>
    <w:p w:rsidR="001A0263" w:rsidRPr="0023087C" w:rsidRDefault="001A0263" w:rsidP="001A0263">
      <w:pPr>
        <w:pStyle w:val="Text2"/>
        <w:ind w:left="0"/>
        <w:rPr>
          <w:lang w:val="ro-RO"/>
        </w:rPr>
      </w:pPr>
      <w:r w:rsidRPr="0023087C">
        <w:rPr>
          <w:lang w:val="ro-RO"/>
        </w:rPr>
        <w:t>La momentele potrivite în timpul Contractului de Reformă al Sectorului (SRC) și după evenimentele potrivite, comunicate de presă vor fi emise de MF în cooperare cu Delegația UE în Moldova. În toate aceste acțiuni, orientările de vizibilitate ale UE vor fi strict respectate.</w:t>
      </w:r>
    </w:p>
    <w:p w:rsidR="001A0263" w:rsidRPr="0023087C" w:rsidRDefault="001A0263" w:rsidP="001A0263">
      <w:pPr>
        <w:pStyle w:val="Text2"/>
        <w:ind w:left="0"/>
        <w:rPr>
          <w:b/>
          <w:szCs w:val="24"/>
          <w:lang w:val="ro-RO"/>
        </w:rPr>
      </w:pPr>
    </w:p>
    <w:p w:rsidR="001A0263" w:rsidRPr="0023087C" w:rsidRDefault="001A0263" w:rsidP="001A0263">
      <w:pPr>
        <w:pStyle w:val="Text2"/>
        <w:ind w:left="0"/>
        <w:rPr>
          <w:b/>
          <w:szCs w:val="24"/>
          <w:lang w:val="ro-RO"/>
        </w:rPr>
      </w:pPr>
      <w:r w:rsidRPr="0023087C">
        <w:rPr>
          <w:b/>
          <w:szCs w:val="24"/>
          <w:lang w:val="ro-RO"/>
        </w:rPr>
        <w:t>Anexe</w:t>
      </w:r>
    </w:p>
    <w:p w:rsidR="001A0263" w:rsidRPr="0023087C" w:rsidRDefault="001A0263" w:rsidP="001A0263">
      <w:pPr>
        <w:pStyle w:val="Text2"/>
        <w:tabs>
          <w:tab w:val="left" w:pos="360"/>
        </w:tabs>
        <w:ind w:left="851"/>
        <w:rPr>
          <w:szCs w:val="24"/>
          <w:lang w:val="ro-RO"/>
        </w:rPr>
      </w:pPr>
      <w:r w:rsidRPr="0023087C">
        <w:rPr>
          <w:szCs w:val="24"/>
          <w:lang w:val="ro-RO"/>
        </w:rPr>
        <w:t>1. Indicatori de performanță utilizați la debursări</w:t>
      </w:r>
    </w:p>
    <w:p w:rsidR="001A0263" w:rsidRPr="0023087C" w:rsidRDefault="001A0263" w:rsidP="001A0263">
      <w:pPr>
        <w:pStyle w:val="Text2"/>
        <w:tabs>
          <w:tab w:val="left" w:pos="360"/>
        </w:tabs>
        <w:ind w:left="851"/>
        <w:rPr>
          <w:szCs w:val="24"/>
          <w:lang w:val="ro-RO"/>
        </w:rPr>
      </w:pPr>
      <w:r w:rsidRPr="0023087C">
        <w:rPr>
          <w:szCs w:val="24"/>
          <w:lang w:val="ro-RO"/>
        </w:rPr>
        <w:t xml:space="preserve">2. Aranjamentele și graficul debursărilor </w:t>
      </w:r>
    </w:p>
    <w:p w:rsidR="001A0263" w:rsidRPr="0023087C" w:rsidRDefault="001A0263" w:rsidP="001A0263">
      <w:pPr>
        <w:tabs>
          <w:tab w:val="left" w:pos="511"/>
        </w:tabs>
        <w:jc w:val="both"/>
        <w:rPr>
          <w:b/>
          <w:lang w:val="ro-RO"/>
        </w:rPr>
      </w:pPr>
      <w:r w:rsidRPr="0023087C">
        <w:rPr>
          <w:b/>
          <w:lang w:val="ro-RO"/>
        </w:rPr>
        <w:br w:type="page"/>
      </w:r>
      <w:r w:rsidRPr="0023087C">
        <w:rPr>
          <w:b/>
          <w:lang w:val="ro-RO"/>
        </w:rPr>
        <w:lastRenderedPageBreak/>
        <w:t>Anexa 1: Indicatorii de performanță utilizați pentru debursare</w:t>
      </w:r>
    </w:p>
    <w:p w:rsidR="001A0263" w:rsidRPr="0023087C" w:rsidRDefault="001A0263" w:rsidP="001A0263">
      <w:pPr>
        <w:spacing w:before="120"/>
        <w:jc w:val="both"/>
        <w:rPr>
          <w:lang w:val="ro-RO"/>
        </w:rPr>
      </w:pPr>
      <w:r w:rsidRPr="0023087C">
        <w:rPr>
          <w:b/>
          <w:i/>
          <w:lang w:val="ro-RO"/>
        </w:rPr>
        <w:t>Condițiile Generale</w:t>
      </w:r>
      <w:r w:rsidRPr="0023087C">
        <w:rPr>
          <w:lang w:val="ro-RO"/>
        </w:rPr>
        <w:t xml:space="preserve"> pentru debursare al tuturor tranșelor sunt: Progres satisfăcător în implementarea Strategiei de Dezvoltare Națională Moldova 2020 și continuarea credibilității și relevanței acesteia; implementarea unei politici macroeconomice credibile și orientată spre stabilitate; progres satisfăcător în implementarea Strategiei de Dezvoltare a Managementului Finanțelor Publice 2013-2020; progres satisfăcător în legătură cu disponibilitatea informației bugetare cuprinzătoare, clare și în timp util.</w:t>
      </w:r>
    </w:p>
    <w:p w:rsidR="001A0263" w:rsidRPr="0023087C" w:rsidRDefault="001A0263" w:rsidP="001A0263">
      <w:pPr>
        <w:spacing w:before="120"/>
        <w:jc w:val="both"/>
        <w:rPr>
          <w:lang w:val="ro-RO"/>
        </w:rPr>
      </w:pPr>
      <w:r w:rsidRPr="0023087C">
        <w:rPr>
          <w:b/>
          <w:i/>
          <w:lang w:val="ro-RO"/>
        </w:rPr>
        <w:t>Condițiile Specifice</w:t>
      </w:r>
      <w:r w:rsidRPr="0023087C">
        <w:rPr>
          <w:lang w:val="ro-RO"/>
        </w:rPr>
        <w:t xml:space="preserve"> se referă la activitățile legate de îmbunătățirea eficienței, efectivității, transparenței și răspunderii din cadrul finanțelor publice din Moldova și sunt implementate de (i) Guvernul Republicii Moldova, și anume Ministerul Finanțelor; (ii) Parlamentul Republicii Moldova și anume </w:t>
      </w:r>
      <w:r w:rsidRPr="0023087C">
        <w:rPr>
          <w:bCs/>
          <w:lang w:val="ro-RO"/>
        </w:rPr>
        <w:t>Comisia Economie, Buget și Finanțe</w:t>
      </w:r>
      <w:r w:rsidRPr="0023087C">
        <w:rPr>
          <w:lang w:val="ro-RO"/>
        </w:rPr>
        <w:t xml:space="preserve"> a acestuia (iii) Curtea de Conturi, care este Instituția Supremă de Audit a Republicii Moldova. </w:t>
      </w:r>
    </w:p>
    <w:p w:rsidR="001A0263" w:rsidRPr="0023087C" w:rsidRDefault="001A0263" w:rsidP="001A0263">
      <w:pPr>
        <w:spacing w:before="120"/>
        <w:jc w:val="both"/>
        <w:rPr>
          <w:b/>
          <w:lang w:val="ro-RO"/>
        </w:rPr>
      </w:pPr>
      <w:r w:rsidRPr="0023087C">
        <w:rPr>
          <w:lang w:val="ro-RO"/>
        </w:rPr>
        <w:t xml:space="preserve">Detaliile Condițiilor Specifice sunt stabilite în </w:t>
      </w:r>
      <w:r w:rsidRPr="0023087C">
        <w:rPr>
          <w:b/>
          <w:lang w:val="ro-RO"/>
        </w:rPr>
        <w:t>Appendix-ul 2</w:t>
      </w:r>
      <w:r w:rsidRPr="0023087C">
        <w:rPr>
          <w:lang w:val="ro-RO"/>
        </w:rPr>
        <w:t xml:space="preserve"> – </w:t>
      </w:r>
      <w:r w:rsidRPr="0023087C">
        <w:rPr>
          <w:b/>
          <w:lang w:val="ro-RO"/>
        </w:rPr>
        <w:t>Aranjamentele  și graficul debursărilor (suport bugetar)</w:t>
      </w:r>
    </w:p>
    <w:p w:rsidR="001A0263" w:rsidRPr="0023087C" w:rsidRDefault="001A0263" w:rsidP="001A0263">
      <w:pPr>
        <w:suppressAutoHyphens/>
        <w:jc w:val="both"/>
        <w:rPr>
          <w:i/>
          <w:lang w:val="ro-RO"/>
        </w:rPr>
      </w:pPr>
    </w:p>
    <w:p w:rsidR="001A0263" w:rsidRPr="0023087C" w:rsidRDefault="001A0263" w:rsidP="001A0263">
      <w:pPr>
        <w:suppressAutoHyphens/>
        <w:ind w:left="360"/>
        <w:jc w:val="both"/>
        <w:rPr>
          <w:lang w:val="ro-RO"/>
        </w:rPr>
      </w:pPr>
    </w:p>
    <w:p w:rsidR="001A0263" w:rsidRPr="0023087C" w:rsidRDefault="001A0263" w:rsidP="001A0263">
      <w:pPr>
        <w:tabs>
          <w:tab w:val="left" w:pos="511"/>
        </w:tabs>
        <w:spacing w:after="240"/>
        <w:jc w:val="both"/>
        <w:rPr>
          <w:b/>
          <w:lang w:val="ro-RO"/>
        </w:rPr>
      </w:pPr>
      <w:r w:rsidRPr="0023087C">
        <w:rPr>
          <w:i/>
          <w:lang w:val="ro-RO"/>
        </w:rPr>
        <w:br w:type="page"/>
      </w:r>
    </w:p>
    <w:p w:rsidR="001A0263" w:rsidRPr="0023087C" w:rsidRDefault="001A0263" w:rsidP="001A0263">
      <w:pPr>
        <w:tabs>
          <w:tab w:val="left" w:pos="511"/>
        </w:tabs>
        <w:spacing w:after="240"/>
        <w:jc w:val="both"/>
        <w:rPr>
          <w:b/>
          <w:lang w:val="ro-RO"/>
        </w:rPr>
      </w:pPr>
      <w:r w:rsidRPr="0023087C">
        <w:rPr>
          <w:b/>
          <w:lang w:val="ro-RO"/>
        </w:rPr>
        <w:lastRenderedPageBreak/>
        <w:t>Appendix 2 – Aranjamentele  și graficul debursărilor (suport bugetar)</w:t>
      </w:r>
    </w:p>
    <w:p w:rsidR="001A0263" w:rsidRPr="0023087C" w:rsidRDefault="001A0263" w:rsidP="001A0263">
      <w:pPr>
        <w:pStyle w:val="afc"/>
        <w:numPr>
          <w:ilvl w:val="0"/>
          <w:numId w:val="8"/>
        </w:numPr>
        <w:tabs>
          <w:tab w:val="left" w:pos="511"/>
        </w:tabs>
        <w:spacing w:before="120" w:after="120"/>
        <w:ind w:left="360"/>
        <w:contextualSpacing w:val="0"/>
        <w:jc w:val="both"/>
        <w:rPr>
          <w:b/>
          <w:sz w:val="24"/>
          <w:szCs w:val="24"/>
        </w:rPr>
      </w:pPr>
      <w:r w:rsidRPr="0023087C">
        <w:rPr>
          <w:b/>
          <w:sz w:val="24"/>
          <w:szCs w:val="24"/>
        </w:rPr>
        <w:t>Responsabilități</w:t>
      </w:r>
    </w:p>
    <w:p w:rsidR="001A0263" w:rsidRPr="0023087C" w:rsidRDefault="001A0263" w:rsidP="001A0263">
      <w:pPr>
        <w:tabs>
          <w:tab w:val="left" w:pos="511"/>
        </w:tabs>
        <w:spacing w:before="120" w:after="120"/>
        <w:jc w:val="both"/>
        <w:rPr>
          <w:szCs w:val="22"/>
          <w:lang w:val="ro-RO"/>
        </w:rPr>
      </w:pPr>
      <w:r w:rsidRPr="0023087C">
        <w:rPr>
          <w:szCs w:val="22"/>
          <w:lang w:val="ro-RO"/>
        </w:rPr>
        <w:t>În baza condițiilor de debursare ale acestui Acord de Finanțare, autoritățile competente din Moldova urmează să depună o cerere oficială pentru fiecare tranșă de debursare, indicativ în primul trimestru al fiecărui an și bazate pe cele realizate în anul precedent, incluzînd (i) o analiză pe cît de complet posibilă și justificări pentru eliberările de fonduri, incluzînd toată documentarea necesară, și (ii) un Formular de Identificare Financiară semnat corespunzător.</w:t>
      </w:r>
    </w:p>
    <w:p w:rsidR="001A0263" w:rsidRPr="0023087C" w:rsidRDefault="001A0263" w:rsidP="001A0263">
      <w:pPr>
        <w:pStyle w:val="afc"/>
        <w:numPr>
          <w:ilvl w:val="0"/>
          <w:numId w:val="8"/>
        </w:numPr>
        <w:tabs>
          <w:tab w:val="left" w:pos="511"/>
        </w:tabs>
        <w:spacing w:before="120" w:after="120"/>
        <w:ind w:left="360"/>
        <w:contextualSpacing w:val="0"/>
        <w:jc w:val="both"/>
        <w:rPr>
          <w:b/>
          <w:sz w:val="24"/>
          <w:szCs w:val="24"/>
        </w:rPr>
      </w:pPr>
      <w:r w:rsidRPr="0023087C">
        <w:rPr>
          <w:b/>
          <w:sz w:val="24"/>
          <w:szCs w:val="24"/>
        </w:rPr>
        <w:t>Graficul indicativ al debursărilor</w:t>
      </w:r>
    </w:p>
    <w:p w:rsidR="001A0263" w:rsidRPr="0023087C" w:rsidRDefault="001A0263" w:rsidP="001A0263">
      <w:pPr>
        <w:tabs>
          <w:tab w:val="left" w:pos="511"/>
        </w:tabs>
        <w:spacing w:before="120" w:after="120"/>
        <w:jc w:val="both"/>
        <w:rPr>
          <w:szCs w:val="22"/>
          <w:lang w:val="ro-RO"/>
        </w:rPr>
      </w:pPr>
      <w:r w:rsidRPr="0023087C">
        <w:rPr>
          <w:szCs w:val="22"/>
          <w:lang w:val="ro-RO"/>
        </w:rPr>
        <w:t>Graficul indicativ al debursărilor este stabilit mai jos.</w:t>
      </w:r>
    </w:p>
    <w:p w:rsidR="001A0263" w:rsidRPr="0023087C" w:rsidRDefault="001A0263" w:rsidP="001A0263">
      <w:pPr>
        <w:tabs>
          <w:tab w:val="left" w:pos="511"/>
        </w:tabs>
        <w:spacing w:before="120" w:after="120"/>
        <w:jc w:val="center"/>
        <w:rPr>
          <w:b/>
          <w:szCs w:val="22"/>
          <w:lang w:val="ro-RO"/>
        </w:rPr>
      </w:pPr>
      <w:r w:rsidRPr="0023087C">
        <w:rPr>
          <w:b/>
          <w:szCs w:val="22"/>
          <w:lang w:val="ro-RO"/>
        </w:rPr>
        <w:t>Tabelul A: Graficul indicativ al debursărilor sumar</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567"/>
        <w:gridCol w:w="545"/>
        <w:gridCol w:w="567"/>
        <w:gridCol w:w="541"/>
        <w:gridCol w:w="466"/>
        <w:gridCol w:w="650"/>
        <w:gridCol w:w="466"/>
        <w:gridCol w:w="466"/>
        <w:gridCol w:w="466"/>
        <w:gridCol w:w="717"/>
        <w:gridCol w:w="466"/>
        <w:gridCol w:w="466"/>
        <w:gridCol w:w="466"/>
        <w:gridCol w:w="716"/>
        <w:gridCol w:w="466"/>
        <w:gridCol w:w="479"/>
        <w:gridCol w:w="759"/>
      </w:tblGrid>
      <w:tr w:rsidR="001A0263" w:rsidRPr="0023087C" w:rsidTr="001A0263">
        <w:trPr>
          <w:jc w:val="center"/>
        </w:trPr>
        <w:tc>
          <w:tcPr>
            <w:tcW w:w="930" w:type="dxa"/>
            <w:shd w:val="clear" w:color="auto" w:fill="auto"/>
          </w:tcPr>
          <w:p w:rsidR="001A0263" w:rsidRPr="0023087C" w:rsidRDefault="001A0263" w:rsidP="001A0263">
            <w:pPr>
              <w:tabs>
                <w:tab w:val="left" w:pos="511"/>
              </w:tabs>
              <w:spacing w:before="60" w:after="60"/>
              <w:jc w:val="both"/>
              <w:rPr>
                <w:lang w:val="ro-RO"/>
              </w:rPr>
            </w:pPr>
            <w:r w:rsidRPr="0023087C">
              <w:rPr>
                <w:lang w:val="ro-RO"/>
              </w:rPr>
              <w:t>Anul fiscal al țării</w:t>
            </w:r>
          </w:p>
        </w:tc>
        <w:tc>
          <w:tcPr>
            <w:tcW w:w="2220" w:type="dxa"/>
            <w:gridSpan w:val="4"/>
            <w:shd w:val="clear" w:color="auto" w:fill="auto"/>
            <w:vAlign w:val="center"/>
          </w:tcPr>
          <w:p w:rsidR="001A0263" w:rsidRPr="0023087C" w:rsidRDefault="001A0263" w:rsidP="001A0263">
            <w:pPr>
              <w:tabs>
                <w:tab w:val="left" w:pos="511"/>
              </w:tabs>
              <w:spacing w:before="60" w:after="60"/>
              <w:jc w:val="center"/>
              <w:rPr>
                <w:b/>
                <w:lang w:val="ro-RO"/>
              </w:rPr>
            </w:pPr>
            <w:r w:rsidRPr="0023087C">
              <w:rPr>
                <w:b/>
                <w:lang w:val="ro-RO"/>
              </w:rPr>
              <w:t>2014</w:t>
            </w:r>
          </w:p>
        </w:tc>
        <w:tc>
          <w:tcPr>
            <w:tcW w:w="2048" w:type="dxa"/>
            <w:gridSpan w:val="4"/>
            <w:shd w:val="clear" w:color="auto" w:fill="auto"/>
            <w:vAlign w:val="center"/>
          </w:tcPr>
          <w:p w:rsidR="001A0263" w:rsidRPr="0023087C" w:rsidRDefault="001A0263" w:rsidP="001A0263">
            <w:pPr>
              <w:tabs>
                <w:tab w:val="left" w:pos="511"/>
              </w:tabs>
              <w:spacing w:before="60" w:after="60"/>
              <w:jc w:val="center"/>
              <w:rPr>
                <w:b/>
                <w:lang w:val="ro-RO"/>
              </w:rPr>
            </w:pPr>
            <w:r w:rsidRPr="0023087C">
              <w:rPr>
                <w:b/>
                <w:lang w:val="ro-RO"/>
              </w:rPr>
              <w:t>2016</w:t>
            </w:r>
          </w:p>
        </w:tc>
        <w:tc>
          <w:tcPr>
            <w:tcW w:w="2115" w:type="dxa"/>
            <w:gridSpan w:val="4"/>
            <w:shd w:val="clear" w:color="auto" w:fill="auto"/>
            <w:vAlign w:val="center"/>
          </w:tcPr>
          <w:p w:rsidR="001A0263" w:rsidRPr="0023087C" w:rsidRDefault="001A0263" w:rsidP="001A0263">
            <w:pPr>
              <w:tabs>
                <w:tab w:val="left" w:pos="511"/>
              </w:tabs>
              <w:spacing w:before="60" w:after="60"/>
              <w:jc w:val="center"/>
              <w:rPr>
                <w:b/>
                <w:lang w:val="ro-RO"/>
              </w:rPr>
            </w:pPr>
            <w:r w:rsidRPr="0023087C">
              <w:rPr>
                <w:b/>
                <w:lang w:val="ro-RO"/>
              </w:rPr>
              <w:t>2017</w:t>
            </w:r>
          </w:p>
        </w:tc>
        <w:tc>
          <w:tcPr>
            <w:tcW w:w="2127" w:type="dxa"/>
            <w:gridSpan w:val="4"/>
            <w:vAlign w:val="center"/>
          </w:tcPr>
          <w:p w:rsidR="001A0263" w:rsidRPr="0023087C" w:rsidRDefault="001A0263" w:rsidP="001A0263">
            <w:pPr>
              <w:tabs>
                <w:tab w:val="left" w:pos="511"/>
              </w:tabs>
              <w:spacing w:before="60" w:after="60"/>
              <w:jc w:val="center"/>
              <w:rPr>
                <w:b/>
                <w:lang w:val="ro-RO"/>
              </w:rPr>
            </w:pPr>
            <w:r w:rsidRPr="0023087C">
              <w:rPr>
                <w:b/>
                <w:lang w:val="ro-RO"/>
              </w:rPr>
              <w:t>2018</w:t>
            </w:r>
          </w:p>
        </w:tc>
        <w:tc>
          <w:tcPr>
            <w:tcW w:w="759" w:type="dxa"/>
          </w:tcPr>
          <w:p w:rsidR="001A0263" w:rsidRPr="0023087C" w:rsidRDefault="001A0263" w:rsidP="001A0263">
            <w:pPr>
              <w:tabs>
                <w:tab w:val="left" w:pos="511"/>
              </w:tabs>
              <w:spacing w:before="60" w:after="60"/>
              <w:jc w:val="both"/>
              <w:rPr>
                <w:lang w:val="ro-RO"/>
              </w:rPr>
            </w:pPr>
          </w:p>
        </w:tc>
      </w:tr>
      <w:tr w:rsidR="001A0263" w:rsidRPr="0023087C" w:rsidTr="001A0263">
        <w:trPr>
          <w:jc w:val="center"/>
        </w:trPr>
        <w:tc>
          <w:tcPr>
            <w:tcW w:w="930" w:type="dxa"/>
            <w:shd w:val="clear" w:color="auto" w:fill="auto"/>
          </w:tcPr>
          <w:p w:rsidR="001A0263" w:rsidRPr="0023087C" w:rsidRDefault="001A0263" w:rsidP="001A0263">
            <w:pPr>
              <w:tabs>
                <w:tab w:val="left" w:pos="511"/>
              </w:tabs>
              <w:spacing w:before="60" w:after="60"/>
              <w:jc w:val="both"/>
              <w:rPr>
                <w:lang w:val="ro-RO"/>
              </w:rPr>
            </w:pPr>
            <w:r w:rsidRPr="0023087C">
              <w:rPr>
                <w:lang w:val="ro-RO"/>
              </w:rPr>
              <w:t>Tipul trașii</w:t>
            </w:r>
          </w:p>
        </w:tc>
        <w:tc>
          <w:tcPr>
            <w:tcW w:w="567" w:type="dxa"/>
            <w:shd w:val="clear" w:color="auto" w:fill="auto"/>
          </w:tcPr>
          <w:p w:rsidR="001A0263" w:rsidRPr="0023087C" w:rsidRDefault="001A0263" w:rsidP="001A0263">
            <w:pPr>
              <w:tabs>
                <w:tab w:val="left" w:pos="511"/>
              </w:tabs>
              <w:spacing w:before="60" w:after="60"/>
              <w:jc w:val="center"/>
              <w:rPr>
                <w:lang w:val="ro-RO"/>
              </w:rPr>
            </w:pPr>
            <w:r w:rsidRPr="0023087C">
              <w:rPr>
                <w:lang w:val="ro-RO"/>
              </w:rPr>
              <w:t>T1</w:t>
            </w:r>
          </w:p>
        </w:tc>
        <w:tc>
          <w:tcPr>
            <w:tcW w:w="545" w:type="dxa"/>
            <w:shd w:val="clear" w:color="auto" w:fill="auto"/>
          </w:tcPr>
          <w:p w:rsidR="001A0263" w:rsidRPr="0023087C" w:rsidRDefault="001A0263" w:rsidP="001A0263">
            <w:pPr>
              <w:tabs>
                <w:tab w:val="left" w:pos="511"/>
              </w:tabs>
              <w:spacing w:before="60" w:after="60"/>
              <w:jc w:val="center"/>
              <w:rPr>
                <w:lang w:val="ro-RO"/>
              </w:rPr>
            </w:pPr>
            <w:r w:rsidRPr="0023087C">
              <w:rPr>
                <w:lang w:val="ro-RO"/>
              </w:rPr>
              <w:t>T2</w:t>
            </w:r>
          </w:p>
        </w:tc>
        <w:tc>
          <w:tcPr>
            <w:tcW w:w="567" w:type="dxa"/>
            <w:shd w:val="clear" w:color="auto" w:fill="auto"/>
          </w:tcPr>
          <w:p w:rsidR="001A0263" w:rsidRPr="0023087C" w:rsidRDefault="001A0263" w:rsidP="001A0263">
            <w:pPr>
              <w:tabs>
                <w:tab w:val="left" w:pos="511"/>
              </w:tabs>
              <w:spacing w:before="60" w:after="60"/>
              <w:jc w:val="center"/>
              <w:rPr>
                <w:lang w:val="ro-RO"/>
              </w:rPr>
            </w:pPr>
            <w:r w:rsidRPr="0023087C">
              <w:rPr>
                <w:lang w:val="ro-RO"/>
              </w:rPr>
              <w:t>T3</w:t>
            </w:r>
          </w:p>
        </w:tc>
        <w:tc>
          <w:tcPr>
            <w:tcW w:w="541" w:type="dxa"/>
            <w:shd w:val="clear" w:color="auto" w:fill="auto"/>
          </w:tcPr>
          <w:p w:rsidR="001A0263" w:rsidRPr="0023087C" w:rsidRDefault="001A0263" w:rsidP="001A0263">
            <w:pPr>
              <w:tabs>
                <w:tab w:val="left" w:pos="511"/>
              </w:tabs>
              <w:spacing w:before="60" w:after="60"/>
              <w:jc w:val="center"/>
              <w:rPr>
                <w:lang w:val="ro-RO"/>
              </w:rPr>
            </w:pPr>
            <w:r w:rsidRPr="0023087C">
              <w:rPr>
                <w:lang w:val="ro-RO"/>
              </w:rPr>
              <w:t>T4</w:t>
            </w:r>
          </w:p>
        </w:tc>
        <w:tc>
          <w:tcPr>
            <w:tcW w:w="466" w:type="dxa"/>
            <w:shd w:val="clear" w:color="auto" w:fill="auto"/>
          </w:tcPr>
          <w:p w:rsidR="001A0263" w:rsidRPr="0023087C" w:rsidRDefault="001A0263" w:rsidP="001A0263">
            <w:pPr>
              <w:tabs>
                <w:tab w:val="left" w:pos="511"/>
              </w:tabs>
              <w:spacing w:before="60" w:after="60"/>
              <w:jc w:val="center"/>
              <w:rPr>
                <w:lang w:val="ro-RO"/>
              </w:rPr>
            </w:pPr>
            <w:r w:rsidRPr="0023087C">
              <w:rPr>
                <w:lang w:val="ro-RO"/>
              </w:rPr>
              <w:t>T1</w:t>
            </w:r>
          </w:p>
        </w:tc>
        <w:tc>
          <w:tcPr>
            <w:tcW w:w="650" w:type="dxa"/>
            <w:shd w:val="clear" w:color="auto" w:fill="auto"/>
          </w:tcPr>
          <w:p w:rsidR="001A0263" w:rsidRPr="0023087C" w:rsidRDefault="001A0263" w:rsidP="001A0263">
            <w:pPr>
              <w:tabs>
                <w:tab w:val="left" w:pos="511"/>
              </w:tabs>
              <w:spacing w:before="60" w:after="60"/>
              <w:jc w:val="center"/>
              <w:rPr>
                <w:lang w:val="ro-RO"/>
              </w:rPr>
            </w:pPr>
            <w:r w:rsidRPr="0023087C">
              <w:rPr>
                <w:lang w:val="ro-RO"/>
              </w:rPr>
              <w:t>T2</w:t>
            </w:r>
          </w:p>
        </w:tc>
        <w:tc>
          <w:tcPr>
            <w:tcW w:w="466" w:type="dxa"/>
            <w:shd w:val="clear" w:color="auto" w:fill="auto"/>
          </w:tcPr>
          <w:p w:rsidR="001A0263" w:rsidRPr="0023087C" w:rsidRDefault="001A0263" w:rsidP="001A0263">
            <w:pPr>
              <w:tabs>
                <w:tab w:val="left" w:pos="511"/>
              </w:tabs>
              <w:spacing w:before="60" w:after="60"/>
              <w:jc w:val="center"/>
              <w:rPr>
                <w:lang w:val="ro-RO"/>
              </w:rPr>
            </w:pPr>
            <w:r w:rsidRPr="0023087C">
              <w:rPr>
                <w:lang w:val="ro-RO"/>
              </w:rPr>
              <w:t>T3</w:t>
            </w:r>
          </w:p>
        </w:tc>
        <w:tc>
          <w:tcPr>
            <w:tcW w:w="466" w:type="dxa"/>
            <w:shd w:val="clear" w:color="auto" w:fill="auto"/>
          </w:tcPr>
          <w:p w:rsidR="001A0263" w:rsidRPr="0023087C" w:rsidRDefault="001A0263" w:rsidP="001A0263">
            <w:pPr>
              <w:tabs>
                <w:tab w:val="left" w:pos="511"/>
              </w:tabs>
              <w:spacing w:before="60" w:after="60"/>
              <w:jc w:val="center"/>
              <w:rPr>
                <w:lang w:val="ro-RO"/>
              </w:rPr>
            </w:pPr>
            <w:r w:rsidRPr="0023087C">
              <w:rPr>
                <w:lang w:val="ro-RO"/>
              </w:rPr>
              <w:t>T4</w:t>
            </w:r>
          </w:p>
        </w:tc>
        <w:tc>
          <w:tcPr>
            <w:tcW w:w="466" w:type="dxa"/>
            <w:shd w:val="clear" w:color="auto" w:fill="auto"/>
          </w:tcPr>
          <w:p w:rsidR="001A0263" w:rsidRPr="0023087C" w:rsidRDefault="001A0263" w:rsidP="001A0263">
            <w:pPr>
              <w:tabs>
                <w:tab w:val="left" w:pos="511"/>
              </w:tabs>
              <w:spacing w:before="60" w:after="60"/>
              <w:jc w:val="center"/>
              <w:rPr>
                <w:lang w:val="ro-RO"/>
              </w:rPr>
            </w:pPr>
            <w:r w:rsidRPr="0023087C">
              <w:rPr>
                <w:lang w:val="ro-RO"/>
              </w:rPr>
              <w:t>T1</w:t>
            </w:r>
          </w:p>
        </w:tc>
        <w:tc>
          <w:tcPr>
            <w:tcW w:w="717" w:type="dxa"/>
            <w:shd w:val="clear" w:color="auto" w:fill="auto"/>
          </w:tcPr>
          <w:p w:rsidR="001A0263" w:rsidRPr="0023087C" w:rsidRDefault="001A0263" w:rsidP="001A0263">
            <w:pPr>
              <w:tabs>
                <w:tab w:val="left" w:pos="511"/>
              </w:tabs>
              <w:spacing w:before="60" w:after="60"/>
              <w:jc w:val="center"/>
              <w:rPr>
                <w:lang w:val="ro-RO"/>
              </w:rPr>
            </w:pPr>
            <w:r w:rsidRPr="0023087C">
              <w:rPr>
                <w:lang w:val="ro-RO"/>
              </w:rPr>
              <w:t>T2</w:t>
            </w:r>
          </w:p>
        </w:tc>
        <w:tc>
          <w:tcPr>
            <w:tcW w:w="466" w:type="dxa"/>
            <w:shd w:val="clear" w:color="auto" w:fill="auto"/>
          </w:tcPr>
          <w:p w:rsidR="001A0263" w:rsidRPr="0023087C" w:rsidRDefault="001A0263" w:rsidP="001A0263">
            <w:pPr>
              <w:tabs>
                <w:tab w:val="left" w:pos="511"/>
              </w:tabs>
              <w:spacing w:before="60" w:after="60"/>
              <w:jc w:val="center"/>
              <w:rPr>
                <w:lang w:val="ro-RO"/>
              </w:rPr>
            </w:pPr>
            <w:r w:rsidRPr="0023087C">
              <w:rPr>
                <w:lang w:val="ro-RO"/>
              </w:rPr>
              <w:t>T3</w:t>
            </w:r>
          </w:p>
        </w:tc>
        <w:tc>
          <w:tcPr>
            <w:tcW w:w="466" w:type="dxa"/>
            <w:shd w:val="clear" w:color="auto" w:fill="auto"/>
          </w:tcPr>
          <w:p w:rsidR="001A0263" w:rsidRPr="0023087C" w:rsidRDefault="001A0263" w:rsidP="001A0263">
            <w:pPr>
              <w:tabs>
                <w:tab w:val="left" w:pos="511"/>
              </w:tabs>
              <w:spacing w:before="60" w:after="60"/>
              <w:jc w:val="center"/>
              <w:rPr>
                <w:lang w:val="ro-RO"/>
              </w:rPr>
            </w:pPr>
            <w:r w:rsidRPr="0023087C">
              <w:rPr>
                <w:lang w:val="ro-RO"/>
              </w:rPr>
              <w:t>T4</w:t>
            </w:r>
          </w:p>
        </w:tc>
        <w:tc>
          <w:tcPr>
            <w:tcW w:w="466" w:type="dxa"/>
          </w:tcPr>
          <w:p w:rsidR="001A0263" w:rsidRPr="0023087C" w:rsidRDefault="001A0263" w:rsidP="001A0263">
            <w:pPr>
              <w:tabs>
                <w:tab w:val="left" w:pos="511"/>
              </w:tabs>
              <w:spacing w:before="60" w:after="60"/>
              <w:jc w:val="center"/>
              <w:rPr>
                <w:lang w:val="ro-RO"/>
              </w:rPr>
            </w:pPr>
            <w:r w:rsidRPr="0023087C">
              <w:rPr>
                <w:lang w:val="ro-RO"/>
              </w:rPr>
              <w:t>T1</w:t>
            </w:r>
          </w:p>
        </w:tc>
        <w:tc>
          <w:tcPr>
            <w:tcW w:w="716" w:type="dxa"/>
          </w:tcPr>
          <w:p w:rsidR="001A0263" w:rsidRPr="0023087C" w:rsidRDefault="001A0263" w:rsidP="001A0263">
            <w:pPr>
              <w:tabs>
                <w:tab w:val="left" w:pos="511"/>
              </w:tabs>
              <w:spacing w:before="60" w:after="60"/>
              <w:jc w:val="center"/>
              <w:rPr>
                <w:lang w:val="ro-RO"/>
              </w:rPr>
            </w:pPr>
            <w:r w:rsidRPr="0023087C">
              <w:rPr>
                <w:lang w:val="ro-RO"/>
              </w:rPr>
              <w:t>T2</w:t>
            </w:r>
          </w:p>
        </w:tc>
        <w:tc>
          <w:tcPr>
            <w:tcW w:w="466" w:type="dxa"/>
            <w:shd w:val="clear" w:color="auto" w:fill="auto"/>
          </w:tcPr>
          <w:p w:rsidR="001A0263" w:rsidRPr="0023087C" w:rsidRDefault="001A0263" w:rsidP="001A0263">
            <w:pPr>
              <w:tabs>
                <w:tab w:val="left" w:pos="511"/>
              </w:tabs>
              <w:spacing w:before="60" w:after="60"/>
              <w:jc w:val="center"/>
              <w:rPr>
                <w:lang w:val="ro-RO"/>
              </w:rPr>
            </w:pPr>
            <w:r w:rsidRPr="0023087C">
              <w:rPr>
                <w:lang w:val="ro-RO"/>
              </w:rPr>
              <w:t>T3</w:t>
            </w:r>
          </w:p>
        </w:tc>
        <w:tc>
          <w:tcPr>
            <w:tcW w:w="479" w:type="dxa"/>
          </w:tcPr>
          <w:p w:rsidR="001A0263" w:rsidRPr="0023087C" w:rsidRDefault="001A0263" w:rsidP="001A0263">
            <w:pPr>
              <w:tabs>
                <w:tab w:val="left" w:pos="511"/>
              </w:tabs>
              <w:spacing w:before="60" w:after="60"/>
              <w:jc w:val="center"/>
              <w:rPr>
                <w:lang w:val="ro-RO"/>
              </w:rPr>
            </w:pPr>
            <w:r w:rsidRPr="0023087C">
              <w:rPr>
                <w:lang w:val="ro-RO"/>
              </w:rPr>
              <w:t>T4</w:t>
            </w:r>
          </w:p>
        </w:tc>
        <w:tc>
          <w:tcPr>
            <w:tcW w:w="759" w:type="dxa"/>
          </w:tcPr>
          <w:p w:rsidR="001A0263" w:rsidRPr="0023087C" w:rsidRDefault="001A0263" w:rsidP="001A0263">
            <w:pPr>
              <w:tabs>
                <w:tab w:val="left" w:pos="511"/>
              </w:tabs>
              <w:spacing w:before="60" w:after="60"/>
              <w:jc w:val="center"/>
              <w:rPr>
                <w:lang w:val="ro-RO"/>
              </w:rPr>
            </w:pPr>
            <w:r w:rsidRPr="0023087C">
              <w:rPr>
                <w:lang w:val="ro-RO"/>
              </w:rPr>
              <w:t>Total</w:t>
            </w:r>
          </w:p>
        </w:tc>
      </w:tr>
      <w:tr w:rsidR="001A0263" w:rsidRPr="0023087C" w:rsidTr="001A0263">
        <w:trPr>
          <w:jc w:val="center"/>
        </w:trPr>
        <w:tc>
          <w:tcPr>
            <w:tcW w:w="930" w:type="dxa"/>
            <w:shd w:val="clear" w:color="auto" w:fill="auto"/>
          </w:tcPr>
          <w:p w:rsidR="001A0263" w:rsidRPr="0023087C" w:rsidRDefault="001A0263" w:rsidP="001A0263">
            <w:pPr>
              <w:tabs>
                <w:tab w:val="left" w:pos="511"/>
              </w:tabs>
              <w:spacing w:before="60" w:after="60"/>
              <w:jc w:val="both"/>
              <w:rPr>
                <w:lang w:val="ro-RO"/>
              </w:rPr>
            </w:pPr>
            <w:r w:rsidRPr="0023087C">
              <w:rPr>
                <w:lang w:val="ro-RO"/>
              </w:rPr>
              <w:t>Tranșă fixă</w:t>
            </w:r>
          </w:p>
        </w:tc>
        <w:tc>
          <w:tcPr>
            <w:tcW w:w="567" w:type="dxa"/>
            <w:shd w:val="clear" w:color="auto" w:fill="auto"/>
          </w:tcPr>
          <w:p w:rsidR="001A0263" w:rsidRPr="0023087C" w:rsidRDefault="001A0263" w:rsidP="001A0263">
            <w:pPr>
              <w:tabs>
                <w:tab w:val="left" w:pos="511"/>
              </w:tabs>
              <w:spacing w:before="60" w:after="60"/>
              <w:jc w:val="both"/>
              <w:rPr>
                <w:lang w:val="ro-RO"/>
              </w:rPr>
            </w:pPr>
          </w:p>
        </w:tc>
        <w:tc>
          <w:tcPr>
            <w:tcW w:w="545" w:type="dxa"/>
            <w:shd w:val="clear" w:color="auto" w:fill="auto"/>
          </w:tcPr>
          <w:p w:rsidR="001A0263" w:rsidRPr="0023087C" w:rsidRDefault="001A0263" w:rsidP="001A0263">
            <w:pPr>
              <w:tabs>
                <w:tab w:val="left" w:pos="511"/>
              </w:tabs>
              <w:spacing w:before="60" w:after="60"/>
              <w:jc w:val="both"/>
              <w:rPr>
                <w:lang w:val="ro-RO"/>
              </w:rPr>
            </w:pPr>
          </w:p>
        </w:tc>
        <w:tc>
          <w:tcPr>
            <w:tcW w:w="567" w:type="dxa"/>
            <w:shd w:val="clear" w:color="auto" w:fill="auto"/>
          </w:tcPr>
          <w:p w:rsidR="001A0263" w:rsidRPr="0023087C" w:rsidRDefault="001A0263" w:rsidP="001A0263">
            <w:pPr>
              <w:tabs>
                <w:tab w:val="left" w:pos="511"/>
              </w:tabs>
              <w:spacing w:before="60" w:after="60"/>
              <w:jc w:val="both"/>
              <w:rPr>
                <w:lang w:val="ro-RO"/>
              </w:rPr>
            </w:pPr>
          </w:p>
        </w:tc>
        <w:tc>
          <w:tcPr>
            <w:tcW w:w="541" w:type="dxa"/>
            <w:shd w:val="clear" w:color="auto" w:fill="auto"/>
          </w:tcPr>
          <w:p w:rsidR="001A0263" w:rsidRPr="0023087C" w:rsidRDefault="001A0263" w:rsidP="001A0263">
            <w:pPr>
              <w:tabs>
                <w:tab w:val="left" w:pos="511"/>
              </w:tabs>
              <w:spacing w:before="60" w:after="60"/>
              <w:jc w:val="both"/>
              <w:rPr>
                <w:lang w:val="ro-RO"/>
              </w:rPr>
            </w:pPr>
            <w:r w:rsidRPr="0023087C">
              <w:rPr>
                <w:lang w:val="ro-RO"/>
              </w:rPr>
              <w:t>8m€</w:t>
            </w: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650" w:type="dxa"/>
            <w:shd w:val="clear" w:color="auto" w:fill="auto"/>
          </w:tcPr>
          <w:p w:rsidR="001A0263" w:rsidRPr="0023087C" w:rsidRDefault="001A0263" w:rsidP="001A0263">
            <w:pPr>
              <w:tabs>
                <w:tab w:val="left" w:pos="511"/>
              </w:tabs>
              <w:spacing w:before="60" w:after="60"/>
              <w:jc w:val="both"/>
              <w:rPr>
                <w:lang w:val="ro-RO"/>
              </w:rPr>
            </w:pP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717" w:type="dxa"/>
            <w:shd w:val="clear" w:color="auto" w:fill="auto"/>
          </w:tcPr>
          <w:p w:rsidR="001A0263" w:rsidRPr="0023087C" w:rsidRDefault="001A0263" w:rsidP="001A0263">
            <w:pPr>
              <w:tabs>
                <w:tab w:val="left" w:pos="511"/>
              </w:tabs>
              <w:spacing w:before="60" w:after="60"/>
              <w:jc w:val="both"/>
              <w:rPr>
                <w:lang w:val="ro-RO"/>
              </w:rPr>
            </w:pP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466" w:type="dxa"/>
          </w:tcPr>
          <w:p w:rsidR="001A0263" w:rsidRPr="0023087C" w:rsidRDefault="001A0263" w:rsidP="001A0263">
            <w:pPr>
              <w:tabs>
                <w:tab w:val="left" w:pos="511"/>
              </w:tabs>
              <w:spacing w:before="60" w:after="60"/>
              <w:jc w:val="both"/>
              <w:rPr>
                <w:lang w:val="ro-RO"/>
              </w:rPr>
            </w:pPr>
          </w:p>
        </w:tc>
        <w:tc>
          <w:tcPr>
            <w:tcW w:w="716" w:type="dxa"/>
          </w:tcPr>
          <w:p w:rsidR="001A0263" w:rsidRPr="0023087C" w:rsidRDefault="001A0263" w:rsidP="001A0263">
            <w:pPr>
              <w:tabs>
                <w:tab w:val="left" w:pos="511"/>
              </w:tabs>
              <w:spacing w:before="60" w:after="60"/>
              <w:jc w:val="both"/>
              <w:rPr>
                <w:lang w:val="ro-RO"/>
              </w:rPr>
            </w:pP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479" w:type="dxa"/>
          </w:tcPr>
          <w:p w:rsidR="001A0263" w:rsidRPr="0023087C" w:rsidRDefault="001A0263" w:rsidP="001A0263">
            <w:pPr>
              <w:tabs>
                <w:tab w:val="left" w:pos="511"/>
              </w:tabs>
              <w:spacing w:before="60" w:after="60"/>
              <w:jc w:val="both"/>
              <w:rPr>
                <w:lang w:val="ro-RO"/>
              </w:rPr>
            </w:pPr>
          </w:p>
        </w:tc>
        <w:tc>
          <w:tcPr>
            <w:tcW w:w="759" w:type="dxa"/>
          </w:tcPr>
          <w:p w:rsidR="001A0263" w:rsidRPr="0023087C" w:rsidRDefault="001A0263" w:rsidP="001A0263">
            <w:pPr>
              <w:tabs>
                <w:tab w:val="left" w:pos="511"/>
              </w:tabs>
              <w:spacing w:before="60" w:after="60"/>
              <w:jc w:val="both"/>
              <w:rPr>
                <w:lang w:val="ro-RO"/>
              </w:rPr>
            </w:pPr>
            <w:r w:rsidRPr="0023087C">
              <w:rPr>
                <w:lang w:val="ro-RO"/>
              </w:rPr>
              <w:t>8m€</w:t>
            </w:r>
          </w:p>
        </w:tc>
      </w:tr>
      <w:tr w:rsidR="001A0263" w:rsidRPr="0023087C" w:rsidTr="001A0263">
        <w:trPr>
          <w:jc w:val="center"/>
        </w:trPr>
        <w:tc>
          <w:tcPr>
            <w:tcW w:w="930" w:type="dxa"/>
            <w:shd w:val="clear" w:color="auto" w:fill="auto"/>
          </w:tcPr>
          <w:p w:rsidR="001A0263" w:rsidRPr="0023087C" w:rsidRDefault="001A0263" w:rsidP="001A0263">
            <w:pPr>
              <w:tabs>
                <w:tab w:val="left" w:pos="511"/>
              </w:tabs>
              <w:spacing w:before="60" w:after="60"/>
              <w:jc w:val="both"/>
              <w:rPr>
                <w:lang w:val="ro-RO"/>
              </w:rPr>
            </w:pPr>
            <w:r w:rsidRPr="0023087C">
              <w:rPr>
                <w:lang w:val="ro-RO"/>
              </w:rPr>
              <w:t xml:space="preserve">Tranșă variabilă </w:t>
            </w:r>
          </w:p>
        </w:tc>
        <w:tc>
          <w:tcPr>
            <w:tcW w:w="567" w:type="dxa"/>
            <w:shd w:val="clear" w:color="auto" w:fill="auto"/>
          </w:tcPr>
          <w:p w:rsidR="001A0263" w:rsidRPr="0023087C" w:rsidRDefault="001A0263" w:rsidP="001A0263">
            <w:pPr>
              <w:tabs>
                <w:tab w:val="left" w:pos="511"/>
              </w:tabs>
              <w:spacing w:before="60" w:after="60"/>
              <w:jc w:val="both"/>
              <w:rPr>
                <w:lang w:val="ro-RO"/>
              </w:rPr>
            </w:pPr>
          </w:p>
        </w:tc>
        <w:tc>
          <w:tcPr>
            <w:tcW w:w="545" w:type="dxa"/>
            <w:shd w:val="clear" w:color="auto" w:fill="auto"/>
          </w:tcPr>
          <w:p w:rsidR="001A0263" w:rsidRPr="0023087C" w:rsidRDefault="001A0263" w:rsidP="001A0263">
            <w:pPr>
              <w:tabs>
                <w:tab w:val="left" w:pos="511"/>
              </w:tabs>
              <w:spacing w:before="60" w:after="60"/>
              <w:jc w:val="both"/>
              <w:rPr>
                <w:lang w:val="ro-RO"/>
              </w:rPr>
            </w:pPr>
          </w:p>
        </w:tc>
        <w:tc>
          <w:tcPr>
            <w:tcW w:w="567" w:type="dxa"/>
            <w:shd w:val="clear" w:color="auto" w:fill="auto"/>
          </w:tcPr>
          <w:p w:rsidR="001A0263" w:rsidRPr="0023087C" w:rsidRDefault="001A0263" w:rsidP="001A0263">
            <w:pPr>
              <w:tabs>
                <w:tab w:val="left" w:pos="511"/>
              </w:tabs>
              <w:spacing w:before="60" w:after="60"/>
              <w:jc w:val="both"/>
              <w:rPr>
                <w:lang w:val="ro-RO"/>
              </w:rPr>
            </w:pPr>
          </w:p>
        </w:tc>
        <w:tc>
          <w:tcPr>
            <w:tcW w:w="541" w:type="dxa"/>
            <w:shd w:val="clear" w:color="auto" w:fill="auto"/>
          </w:tcPr>
          <w:p w:rsidR="001A0263" w:rsidRPr="0023087C" w:rsidRDefault="001A0263" w:rsidP="001A0263">
            <w:pPr>
              <w:tabs>
                <w:tab w:val="left" w:pos="511"/>
              </w:tabs>
              <w:spacing w:before="60" w:after="60"/>
              <w:jc w:val="both"/>
              <w:rPr>
                <w:lang w:val="ro-RO"/>
              </w:rPr>
            </w:pP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650" w:type="dxa"/>
            <w:shd w:val="clear" w:color="auto" w:fill="auto"/>
          </w:tcPr>
          <w:p w:rsidR="001A0263" w:rsidRPr="0023087C" w:rsidRDefault="001A0263" w:rsidP="001A0263">
            <w:pPr>
              <w:tabs>
                <w:tab w:val="left" w:pos="511"/>
              </w:tabs>
              <w:spacing w:before="60" w:after="60"/>
              <w:jc w:val="both"/>
              <w:rPr>
                <w:lang w:val="ro-RO"/>
              </w:rPr>
            </w:pPr>
            <w:r w:rsidRPr="0023087C">
              <w:rPr>
                <w:lang w:val="ro-RO"/>
              </w:rPr>
              <w:t>8m€</w:t>
            </w: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717" w:type="dxa"/>
            <w:shd w:val="clear" w:color="auto" w:fill="auto"/>
          </w:tcPr>
          <w:p w:rsidR="001A0263" w:rsidRPr="0023087C" w:rsidRDefault="001A0263" w:rsidP="001A0263">
            <w:pPr>
              <w:tabs>
                <w:tab w:val="left" w:pos="511"/>
              </w:tabs>
              <w:spacing w:before="60" w:after="60"/>
              <w:jc w:val="both"/>
              <w:rPr>
                <w:lang w:val="ro-RO"/>
              </w:rPr>
            </w:pPr>
            <w:r w:rsidRPr="0023087C">
              <w:rPr>
                <w:lang w:val="ro-RO"/>
              </w:rPr>
              <w:t>8m€</w:t>
            </w: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466" w:type="dxa"/>
          </w:tcPr>
          <w:p w:rsidR="001A0263" w:rsidRPr="0023087C" w:rsidRDefault="001A0263" w:rsidP="001A0263">
            <w:pPr>
              <w:tabs>
                <w:tab w:val="left" w:pos="511"/>
              </w:tabs>
              <w:spacing w:before="60" w:after="60"/>
              <w:jc w:val="both"/>
              <w:rPr>
                <w:lang w:val="ro-RO"/>
              </w:rPr>
            </w:pPr>
          </w:p>
        </w:tc>
        <w:tc>
          <w:tcPr>
            <w:tcW w:w="716" w:type="dxa"/>
          </w:tcPr>
          <w:p w:rsidR="001A0263" w:rsidRPr="0023087C" w:rsidRDefault="001A0263" w:rsidP="001A0263">
            <w:pPr>
              <w:tabs>
                <w:tab w:val="left" w:pos="511"/>
              </w:tabs>
              <w:spacing w:before="60" w:after="60"/>
              <w:jc w:val="both"/>
              <w:rPr>
                <w:lang w:val="ro-RO"/>
              </w:rPr>
            </w:pPr>
            <w:r w:rsidRPr="0023087C">
              <w:rPr>
                <w:lang w:val="ro-RO"/>
              </w:rPr>
              <w:t>9m€</w:t>
            </w: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479" w:type="dxa"/>
          </w:tcPr>
          <w:p w:rsidR="001A0263" w:rsidRPr="0023087C" w:rsidRDefault="001A0263" w:rsidP="001A0263">
            <w:pPr>
              <w:tabs>
                <w:tab w:val="left" w:pos="511"/>
              </w:tabs>
              <w:spacing w:before="60" w:after="60"/>
              <w:jc w:val="both"/>
              <w:rPr>
                <w:lang w:val="ro-RO"/>
              </w:rPr>
            </w:pPr>
          </w:p>
        </w:tc>
        <w:tc>
          <w:tcPr>
            <w:tcW w:w="759" w:type="dxa"/>
          </w:tcPr>
          <w:p w:rsidR="001A0263" w:rsidRPr="0023087C" w:rsidRDefault="001A0263" w:rsidP="001A0263">
            <w:pPr>
              <w:tabs>
                <w:tab w:val="left" w:pos="511"/>
              </w:tabs>
              <w:spacing w:before="60" w:after="60"/>
              <w:jc w:val="both"/>
              <w:rPr>
                <w:lang w:val="ro-RO"/>
              </w:rPr>
            </w:pPr>
            <w:r w:rsidRPr="0023087C">
              <w:rPr>
                <w:lang w:val="ro-RO"/>
              </w:rPr>
              <w:t>25m€</w:t>
            </w:r>
          </w:p>
        </w:tc>
      </w:tr>
      <w:tr w:rsidR="001A0263" w:rsidRPr="0023087C" w:rsidTr="001A0263">
        <w:trPr>
          <w:jc w:val="center"/>
        </w:trPr>
        <w:tc>
          <w:tcPr>
            <w:tcW w:w="930" w:type="dxa"/>
            <w:shd w:val="clear" w:color="auto" w:fill="auto"/>
          </w:tcPr>
          <w:p w:rsidR="001A0263" w:rsidRPr="0023087C" w:rsidRDefault="001A0263" w:rsidP="001A0263">
            <w:pPr>
              <w:tabs>
                <w:tab w:val="left" w:pos="511"/>
              </w:tabs>
              <w:spacing w:before="60" w:after="60"/>
              <w:jc w:val="both"/>
              <w:rPr>
                <w:lang w:val="ro-RO"/>
              </w:rPr>
            </w:pPr>
            <w:r w:rsidRPr="0023087C">
              <w:rPr>
                <w:lang w:val="ro-RO"/>
              </w:rPr>
              <w:t xml:space="preserve">Total </w:t>
            </w:r>
          </w:p>
        </w:tc>
        <w:tc>
          <w:tcPr>
            <w:tcW w:w="567" w:type="dxa"/>
            <w:shd w:val="clear" w:color="auto" w:fill="auto"/>
          </w:tcPr>
          <w:p w:rsidR="001A0263" w:rsidRPr="0023087C" w:rsidRDefault="001A0263" w:rsidP="001A0263">
            <w:pPr>
              <w:tabs>
                <w:tab w:val="left" w:pos="511"/>
              </w:tabs>
              <w:spacing w:before="60" w:after="60"/>
              <w:jc w:val="both"/>
              <w:rPr>
                <w:lang w:val="ro-RO"/>
              </w:rPr>
            </w:pPr>
          </w:p>
        </w:tc>
        <w:tc>
          <w:tcPr>
            <w:tcW w:w="545" w:type="dxa"/>
            <w:shd w:val="clear" w:color="auto" w:fill="auto"/>
          </w:tcPr>
          <w:p w:rsidR="001A0263" w:rsidRPr="0023087C" w:rsidRDefault="001A0263" w:rsidP="001A0263">
            <w:pPr>
              <w:tabs>
                <w:tab w:val="left" w:pos="511"/>
              </w:tabs>
              <w:spacing w:before="60" w:after="60"/>
              <w:jc w:val="both"/>
              <w:rPr>
                <w:lang w:val="ro-RO"/>
              </w:rPr>
            </w:pPr>
          </w:p>
        </w:tc>
        <w:tc>
          <w:tcPr>
            <w:tcW w:w="567" w:type="dxa"/>
            <w:shd w:val="clear" w:color="auto" w:fill="auto"/>
          </w:tcPr>
          <w:p w:rsidR="001A0263" w:rsidRPr="0023087C" w:rsidRDefault="001A0263" w:rsidP="001A0263">
            <w:pPr>
              <w:tabs>
                <w:tab w:val="left" w:pos="511"/>
              </w:tabs>
              <w:spacing w:before="60" w:after="60"/>
              <w:jc w:val="both"/>
              <w:rPr>
                <w:lang w:val="ro-RO"/>
              </w:rPr>
            </w:pPr>
          </w:p>
        </w:tc>
        <w:tc>
          <w:tcPr>
            <w:tcW w:w="541" w:type="dxa"/>
            <w:shd w:val="clear" w:color="auto" w:fill="auto"/>
          </w:tcPr>
          <w:p w:rsidR="001A0263" w:rsidRPr="0023087C" w:rsidRDefault="001A0263" w:rsidP="001A0263">
            <w:pPr>
              <w:tabs>
                <w:tab w:val="left" w:pos="511"/>
              </w:tabs>
              <w:spacing w:before="60" w:after="60"/>
              <w:jc w:val="both"/>
              <w:rPr>
                <w:lang w:val="ro-RO"/>
              </w:rPr>
            </w:pPr>
            <w:r w:rsidRPr="0023087C">
              <w:rPr>
                <w:lang w:val="ro-RO"/>
              </w:rPr>
              <w:t>8m€</w:t>
            </w: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650" w:type="dxa"/>
            <w:shd w:val="clear" w:color="auto" w:fill="auto"/>
          </w:tcPr>
          <w:p w:rsidR="001A0263" w:rsidRPr="0023087C" w:rsidRDefault="001A0263" w:rsidP="001A0263">
            <w:pPr>
              <w:tabs>
                <w:tab w:val="left" w:pos="511"/>
              </w:tabs>
              <w:spacing w:before="60" w:after="60"/>
              <w:jc w:val="both"/>
              <w:rPr>
                <w:lang w:val="ro-RO"/>
              </w:rPr>
            </w:pPr>
            <w:r w:rsidRPr="0023087C">
              <w:rPr>
                <w:lang w:val="ro-RO"/>
              </w:rPr>
              <w:t>8m€</w:t>
            </w: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717" w:type="dxa"/>
            <w:shd w:val="clear" w:color="auto" w:fill="auto"/>
          </w:tcPr>
          <w:p w:rsidR="001A0263" w:rsidRPr="0023087C" w:rsidRDefault="001A0263" w:rsidP="001A0263">
            <w:pPr>
              <w:tabs>
                <w:tab w:val="left" w:pos="511"/>
              </w:tabs>
              <w:spacing w:before="60" w:after="60"/>
              <w:jc w:val="both"/>
              <w:rPr>
                <w:lang w:val="ro-RO"/>
              </w:rPr>
            </w:pPr>
            <w:r w:rsidRPr="0023087C">
              <w:rPr>
                <w:lang w:val="ro-RO"/>
              </w:rPr>
              <w:t>8m€</w:t>
            </w: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466" w:type="dxa"/>
          </w:tcPr>
          <w:p w:rsidR="001A0263" w:rsidRPr="0023087C" w:rsidRDefault="001A0263" w:rsidP="001A0263">
            <w:pPr>
              <w:tabs>
                <w:tab w:val="left" w:pos="511"/>
              </w:tabs>
              <w:spacing w:before="60" w:after="60"/>
              <w:jc w:val="both"/>
              <w:rPr>
                <w:lang w:val="ro-RO"/>
              </w:rPr>
            </w:pPr>
          </w:p>
        </w:tc>
        <w:tc>
          <w:tcPr>
            <w:tcW w:w="716" w:type="dxa"/>
          </w:tcPr>
          <w:p w:rsidR="001A0263" w:rsidRPr="0023087C" w:rsidRDefault="001A0263" w:rsidP="001A0263">
            <w:pPr>
              <w:tabs>
                <w:tab w:val="left" w:pos="511"/>
              </w:tabs>
              <w:spacing w:before="60" w:after="60"/>
              <w:jc w:val="both"/>
              <w:rPr>
                <w:lang w:val="ro-RO"/>
              </w:rPr>
            </w:pPr>
            <w:r w:rsidRPr="0023087C">
              <w:rPr>
                <w:lang w:val="ro-RO"/>
              </w:rPr>
              <w:t>9m€</w:t>
            </w:r>
          </w:p>
        </w:tc>
        <w:tc>
          <w:tcPr>
            <w:tcW w:w="466" w:type="dxa"/>
            <w:shd w:val="clear" w:color="auto" w:fill="auto"/>
          </w:tcPr>
          <w:p w:rsidR="001A0263" w:rsidRPr="0023087C" w:rsidRDefault="001A0263" w:rsidP="001A0263">
            <w:pPr>
              <w:tabs>
                <w:tab w:val="left" w:pos="511"/>
              </w:tabs>
              <w:spacing w:before="60" w:after="60"/>
              <w:jc w:val="both"/>
              <w:rPr>
                <w:lang w:val="ro-RO"/>
              </w:rPr>
            </w:pPr>
          </w:p>
        </w:tc>
        <w:tc>
          <w:tcPr>
            <w:tcW w:w="479" w:type="dxa"/>
          </w:tcPr>
          <w:p w:rsidR="001A0263" w:rsidRPr="0023087C" w:rsidRDefault="001A0263" w:rsidP="001A0263">
            <w:pPr>
              <w:tabs>
                <w:tab w:val="left" w:pos="511"/>
              </w:tabs>
              <w:spacing w:before="60" w:after="60"/>
              <w:jc w:val="both"/>
              <w:rPr>
                <w:lang w:val="ro-RO"/>
              </w:rPr>
            </w:pPr>
          </w:p>
        </w:tc>
        <w:tc>
          <w:tcPr>
            <w:tcW w:w="759" w:type="dxa"/>
          </w:tcPr>
          <w:p w:rsidR="001A0263" w:rsidRPr="0023087C" w:rsidRDefault="001A0263" w:rsidP="001A0263">
            <w:pPr>
              <w:tabs>
                <w:tab w:val="left" w:pos="511"/>
              </w:tabs>
              <w:spacing w:before="60" w:after="60"/>
              <w:jc w:val="both"/>
              <w:rPr>
                <w:lang w:val="ro-RO"/>
              </w:rPr>
            </w:pPr>
            <w:r w:rsidRPr="0023087C">
              <w:rPr>
                <w:lang w:val="ro-RO"/>
              </w:rPr>
              <w:t>33m€</w:t>
            </w:r>
          </w:p>
        </w:tc>
      </w:tr>
    </w:tbl>
    <w:p w:rsidR="001A0263" w:rsidRPr="0023087C" w:rsidRDefault="001A0263" w:rsidP="001A0263">
      <w:pPr>
        <w:tabs>
          <w:tab w:val="left" w:pos="511"/>
        </w:tabs>
        <w:spacing w:before="120" w:after="120"/>
        <w:jc w:val="both"/>
        <w:rPr>
          <w:b/>
          <w:lang w:val="ro-RO"/>
        </w:rPr>
      </w:pPr>
    </w:p>
    <w:p w:rsidR="001A0263" w:rsidRPr="0023087C" w:rsidRDefault="001A0263" w:rsidP="001A0263">
      <w:pPr>
        <w:spacing w:before="120" w:after="120"/>
        <w:rPr>
          <w:rFonts w:eastAsiaTheme="minorEastAsia"/>
          <w:b/>
          <w:snapToGrid/>
          <w:lang w:val="ro-RO" w:eastAsia="ro-RO"/>
        </w:rPr>
      </w:pPr>
      <w:r w:rsidRPr="0023087C">
        <w:rPr>
          <w:b/>
          <w:lang w:val="ro-RO"/>
        </w:rPr>
        <w:br w:type="page"/>
      </w:r>
    </w:p>
    <w:p w:rsidR="001A0263" w:rsidRPr="0023087C" w:rsidRDefault="001A0263" w:rsidP="001A0263">
      <w:pPr>
        <w:pStyle w:val="afc"/>
        <w:numPr>
          <w:ilvl w:val="0"/>
          <w:numId w:val="8"/>
        </w:numPr>
        <w:tabs>
          <w:tab w:val="left" w:pos="511"/>
        </w:tabs>
        <w:spacing w:before="120" w:after="120"/>
        <w:ind w:left="360"/>
        <w:contextualSpacing w:val="0"/>
        <w:jc w:val="both"/>
        <w:rPr>
          <w:b/>
          <w:sz w:val="24"/>
          <w:szCs w:val="24"/>
        </w:rPr>
      </w:pPr>
      <w:r w:rsidRPr="0023087C">
        <w:rPr>
          <w:b/>
          <w:sz w:val="24"/>
          <w:szCs w:val="24"/>
        </w:rPr>
        <w:lastRenderedPageBreak/>
        <w:t>Condiții generale</w:t>
      </w:r>
    </w:p>
    <w:p w:rsidR="001A0263" w:rsidRPr="0023087C" w:rsidRDefault="001A0263" w:rsidP="001A0263">
      <w:pPr>
        <w:spacing w:before="120" w:after="120"/>
        <w:jc w:val="both"/>
        <w:rPr>
          <w:lang w:val="ro-RO"/>
        </w:rPr>
      </w:pPr>
      <w:r w:rsidRPr="0023087C">
        <w:rPr>
          <w:lang w:val="ro-RO"/>
        </w:rPr>
        <w:t>Condițiile Generale (sau Criteriile de Eligibilitate) specificate mai jos reprezintă condițiile ce trebuie îndeplinite înainte de fiecare tranșă de debursare. Toate cererile pentru oricare tip de eliberare a unei tranșe trebuie însoțite de informație de sprijin, după caz, despre progresul obținut referitor la fiecare dintre cele patru Condiții Generale (sau Criterii de Eligibilitate).</w:t>
      </w:r>
    </w:p>
    <w:p w:rsidR="001A0263" w:rsidRPr="0023087C" w:rsidRDefault="001A0263" w:rsidP="001A0263">
      <w:pPr>
        <w:spacing w:before="120" w:after="120"/>
        <w:jc w:val="center"/>
        <w:rPr>
          <w:b/>
          <w:lang w:val="ro-RO"/>
        </w:rPr>
      </w:pPr>
      <w:r w:rsidRPr="0023087C">
        <w:rPr>
          <w:b/>
          <w:lang w:val="ro-RO"/>
        </w:rPr>
        <w:t>Tabelul B: Condiții Generale pentru eliberarea unei tranșe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3736"/>
        <w:gridCol w:w="2911"/>
      </w:tblGrid>
      <w:tr w:rsidR="001A0263" w:rsidRPr="0023087C" w:rsidTr="001A0263">
        <w:trPr>
          <w:jc w:val="center"/>
        </w:trPr>
        <w:tc>
          <w:tcPr>
            <w:tcW w:w="2293" w:type="dxa"/>
            <w:tcBorders>
              <w:bottom w:val="single" w:sz="4" w:space="0" w:color="auto"/>
            </w:tcBorders>
            <w:shd w:val="clear" w:color="auto" w:fill="D9D9D9" w:themeFill="background1" w:themeFillShade="D9"/>
          </w:tcPr>
          <w:p w:rsidR="001A0263" w:rsidRPr="0023087C" w:rsidRDefault="001A0263" w:rsidP="001A0263">
            <w:pPr>
              <w:spacing w:before="60" w:after="60"/>
              <w:jc w:val="center"/>
              <w:rPr>
                <w:b/>
                <w:bCs/>
                <w:i/>
                <w:iCs/>
                <w:sz w:val="22"/>
                <w:szCs w:val="22"/>
                <w:lang w:val="ro-RO"/>
              </w:rPr>
            </w:pPr>
            <w:r w:rsidRPr="0023087C">
              <w:rPr>
                <w:b/>
                <w:bCs/>
                <w:sz w:val="22"/>
                <w:szCs w:val="22"/>
                <w:lang w:val="ro-RO"/>
              </w:rPr>
              <w:t>Domeniul</w:t>
            </w:r>
          </w:p>
        </w:tc>
        <w:tc>
          <w:tcPr>
            <w:tcW w:w="4052" w:type="dxa"/>
            <w:shd w:val="clear" w:color="auto" w:fill="D9D9D9" w:themeFill="background1" w:themeFillShade="D9"/>
          </w:tcPr>
          <w:p w:rsidR="001A0263" w:rsidRPr="0023087C" w:rsidRDefault="001A0263" w:rsidP="001A0263">
            <w:pPr>
              <w:spacing w:before="60" w:after="60"/>
              <w:jc w:val="center"/>
              <w:rPr>
                <w:b/>
                <w:bCs/>
                <w:i/>
                <w:iCs/>
                <w:sz w:val="22"/>
                <w:szCs w:val="22"/>
                <w:lang w:val="ro-RO"/>
              </w:rPr>
            </w:pPr>
            <w:r w:rsidRPr="0023087C">
              <w:rPr>
                <w:b/>
                <w:bCs/>
                <w:sz w:val="22"/>
                <w:szCs w:val="22"/>
                <w:lang w:val="ro-RO"/>
              </w:rPr>
              <w:t>Condițiile</w:t>
            </w:r>
          </w:p>
        </w:tc>
        <w:tc>
          <w:tcPr>
            <w:tcW w:w="3114" w:type="dxa"/>
            <w:shd w:val="clear" w:color="auto" w:fill="D9D9D9" w:themeFill="background1" w:themeFillShade="D9"/>
          </w:tcPr>
          <w:p w:rsidR="001A0263" w:rsidRPr="0023087C" w:rsidRDefault="001A0263" w:rsidP="001A0263">
            <w:pPr>
              <w:spacing w:before="60" w:after="60"/>
              <w:jc w:val="center"/>
              <w:rPr>
                <w:b/>
                <w:bCs/>
                <w:i/>
                <w:iCs/>
                <w:sz w:val="22"/>
                <w:szCs w:val="22"/>
                <w:lang w:val="ro-RO"/>
              </w:rPr>
            </w:pPr>
            <w:r w:rsidRPr="0023087C">
              <w:rPr>
                <w:b/>
                <w:bCs/>
                <w:sz w:val="22"/>
                <w:szCs w:val="22"/>
                <w:lang w:val="ro-RO"/>
              </w:rPr>
              <w:t>Sursa de verificare</w:t>
            </w:r>
          </w:p>
        </w:tc>
      </w:tr>
      <w:tr w:rsidR="001A0263" w:rsidRPr="0023087C" w:rsidTr="001A0263">
        <w:trPr>
          <w:jc w:val="center"/>
        </w:trPr>
        <w:tc>
          <w:tcPr>
            <w:tcW w:w="2293" w:type="dxa"/>
            <w:shd w:val="clear" w:color="auto" w:fill="D9D9D9" w:themeFill="background1" w:themeFillShade="D9"/>
          </w:tcPr>
          <w:p w:rsidR="001A0263" w:rsidRPr="0023087C" w:rsidRDefault="001A0263" w:rsidP="001A0263">
            <w:pPr>
              <w:spacing w:before="60" w:after="60"/>
              <w:rPr>
                <w:b/>
                <w:i/>
                <w:iCs/>
                <w:sz w:val="22"/>
                <w:szCs w:val="22"/>
                <w:lang w:val="ro-RO"/>
              </w:rPr>
            </w:pPr>
            <w:r w:rsidRPr="0023087C">
              <w:rPr>
                <w:b/>
                <w:sz w:val="22"/>
                <w:szCs w:val="22"/>
                <w:lang w:val="ro-RO"/>
              </w:rPr>
              <w:t>Politici publice</w:t>
            </w:r>
          </w:p>
        </w:tc>
        <w:tc>
          <w:tcPr>
            <w:tcW w:w="4052" w:type="dxa"/>
          </w:tcPr>
          <w:p w:rsidR="001A0263" w:rsidRPr="0023087C" w:rsidRDefault="001A0263" w:rsidP="001A0263">
            <w:pPr>
              <w:tabs>
                <w:tab w:val="left" w:pos="511"/>
              </w:tabs>
              <w:spacing w:before="120" w:after="120"/>
              <w:jc w:val="both"/>
              <w:rPr>
                <w:lang w:val="ro-RO"/>
              </w:rPr>
            </w:pPr>
            <w:r w:rsidRPr="0023087C">
              <w:rPr>
                <w:lang w:val="ro-RO"/>
              </w:rPr>
              <w:t xml:space="preserve">Progres satisfăcător în implementarea politicilor și strategiilor publice ca țară partener </w:t>
            </w:r>
          </w:p>
        </w:tc>
        <w:tc>
          <w:tcPr>
            <w:tcW w:w="3114" w:type="dxa"/>
          </w:tcPr>
          <w:p w:rsidR="001A0263" w:rsidRPr="0023087C" w:rsidRDefault="001A0263" w:rsidP="001A0263">
            <w:pPr>
              <w:tabs>
                <w:tab w:val="left" w:pos="511"/>
              </w:tabs>
              <w:spacing w:before="120" w:after="120"/>
              <w:jc w:val="both"/>
              <w:rPr>
                <w:lang w:val="ro-RO"/>
              </w:rPr>
            </w:pPr>
            <w:r w:rsidRPr="0023087C">
              <w:rPr>
                <w:lang w:val="ro-RO"/>
              </w:rPr>
              <w:t>1. Strategia(-ile) și Panul(-rile) de Acțiuni</w:t>
            </w:r>
          </w:p>
          <w:p w:rsidR="001A0263" w:rsidRPr="0023087C" w:rsidRDefault="001A0263" w:rsidP="001A0263">
            <w:pPr>
              <w:spacing w:before="60" w:after="60"/>
              <w:rPr>
                <w:i/>
                <w:iCs/>
                <w:sz w:val="22"/>
                <w:szCs w:val="22"/>
                <w:lang w:val="ro-RO"/>
              </w:rPr>
            </w:pPr>
            <w:r w:rsidRPr="0023087C">
              <w:rPr>
                <w:lang w:val="ro-RO"/>
              </w:rPr>
              <w:t>2. Rapoartele de implementare a Planului(-rilor) de Acțiuni</w:t>
            </w:r>
          </w:p>
        </w:tc>
      </w:tr>
      <w:tr w:rsidR="001A0263" w:rsidRPr="0023087C" w:rsidTr="001A0263">
        <w:trPr>
          <w:jc w:val="center"/>
        </w:trPr>
        <w:tc>
          <w:tcPr>
            <w:tcW w:w="2293" w:type="dxa"/>
            <w:shd w:val="clear" w:color="auto" w:fill="D9D9D9" w:themeFill="background1" w:themeFillShade="D9"/>
          </w:tcPr>
          <w:p w:rsidR="001A0263" w:rsidRPr="0023087C" w:rsidRDefault="001A0263" w:rsidP="001A0263">
            <w:pPr>
              <w:spacing w:before="60" w:after="60"/>
              <w:rPr>
                <w:b/>
                <w:i/>
                <w:iCs/>
                <w:sz w:val="22"/>
                <w:szCs w:val="22"/>
                <w:lang w:val="ro-RO"/>
              </w:rPr>
            </w:pPr>
            <w:r w:rsidRPr="0023087C">
              <w:rPr>
                <w:b/>
                <w:sz w:val="22"/>
                <w:szCs w:val="22"/>
                <w:lang w:val="ro-RO"/>
              </w:rPr>
              <w:t xml:space="preserve">Stabilitate macroeconomică </w:t>
            </w:r>
          </w:p>
        </w:tc>
        <w:tc>
          <w:tcPr>
            <w:tcW w:w="4052" w:type="dxa"/>
          </w:tcPr>
          <w:p w:rsidR="001A0263" w:rsidRPr="0023087C" w:rsidRDefault="001A0263" w:rsidP="001A0263">
            <w:pPr>
              <w:tabs>
                <w:tab w:val="left" w:pos="511"/>
              </w:tabs>
              <w:spacing w:before="120" w:after="120"/>
              <w:rPr>
                <w:lang w:val="ro-RO"/>
              </w:rPr>
            </w:pPr>
            <w:r w:rsidRPr="0023087C">
              <w:rPr>
                <w:lang w:val="ro-RO"/>
              </w:rPr>
              <w:t>Implementarea unei politici macroeconomice credibile, relevantă și orientată spre stabilitate.</w:t>
            </w:r>
          </w:p>
        </w:tc>
        <w:tc>
          <w:tcPr>
            <w:tcW w:w="3114" w:type="dxa"/>
          </w:tcPr>
          <w:p w:rsidR="001A0263" w:rsidRPr="0023087C" w:rsidRDefault="001A0263" w:rsidP="001A0263">
            <w:pPr>
              <w:tabs>
                <w:tab w:val="left" w:pos="511"/>
              </w:tabs>
              <w:spacing w:before="120" w:after="120"/>
              <w:jc w:val="both"/>
              <w:rPr>
                <w:lang w:val="ro-RO"/>
              </w:rPr>
            </w:pPr>
            <w:r w:rsidRPr="0023087C">
              <w:rPr>
                <w:lang w:val="ro-RO"/>
              </w:rPr>
              <w:t>1. Rapoartele Guvernului Republicii Moldova</w:t>
            </w:r>
          </w:p>
          <w:p w:rsidR="001A0263" w:rsidRPr="0023087C" w:rsidRDefault="001A0263" w:rsidP="001A0263">
            <w:pPr>
              <w:spacing w:before="60" w:after="60"/>
              <w:rPr>
                <w:i/>
                <w:iCs/>
                <w:sz w:val="22"/>
                <w:szCs w:val="22"/>
                <w:lang w:val="ro-RO"/>
              </w:rPr>
            </w:pPr>
            <w:r w:rsidRPr="0023087C">
              <w:rPr>
                <w:lang w:val="ro-RO"/>
              </w:rPr>
              <w:t>2. Rapoartele IMF, WB, EU</w:t>
            </w:r>
          </w:p>
        </w:tc>
      </w:tr>
      <w:tr w:rsidR="001A0263" w:rsidRPr="0023087C" w:rsidTr="001A0263">
        <w:trPr>
          <w:jc w:val="center"/>
        </w:trPr>
        <w:tc>
          <w:tcPr>
            <w:tcW w:w="2293" w:type="dxa"/>
            <w:shd w:val="clear" w:color="auto" w:fill="D9D9D9" w:themeFill="background1" w:themeFillShade="D9"/>
          </w:tcPr>
          <w:p w:rsidR="001A0263" w:rsidRPr="0023087C" w:rsidRDefault="001A0263" w:rsidP="001A0263">
            <w:pPr>
              <w:spacing w:before="60" w:after="60"/>
              <w:rPr>
                <w:b/>
                <w:i/>
                <w:iCs/>
                <w:sz w:val="22"/>
                <w:szCs w:val="22"/>
                <w:lang w:val="ro-RO"/>
              </w:rPr>
            </w:pPr>
            <w:r w:rsidRPr="0023087C">
              <w:rPr>
                <w:b/>
                <w:sz w:val="22"/>
                <w:szCs w:val="22"/>
                <w:lang w:val="ro-RO"/>
              </w:rPr>
              <w:t xml:space="preserve">Managementul finanțelor publice </w:t>
            </w:r>
          </w:p>
        </w:tc>
        <w:tc>
          <w:tcPr>
            <w:tcW w:w="4052" w:type="dxa"/>
          </w:tcPr>
          <w:p w:rsidR="001A0263" w:rsidRPr="0023087C" w:rsidRDefault="001A0263" w:rsidP="001A0263">
            <w:pPr>
              <w:tabs>
                <w:tab w:val="left" w:pos="511"/>
              </w:tabs>
              <w:spacing w:before="120" w:after="120"/>
              <w:jc w:val="both"/>
              <w:rPr>
                <w:lang w:val="ro-RO"/>
              </w:rPr>
            </w:pPr>
            <w:r w:rsidRPr="0023087C">
              <w:rPr>
                <w:lang w:val="ro-RO"/>
              </w:rPr>
              <w:t>Progres satisfăcător în implementarea programului de îmbunătățire a Managementului Finanțelor Publice.</w:t>
            </w:r>
          </w:p>
        </w:tc>
        <w:tc>
          <w:tcPr>
            <w:tcW w:w="3114" w:type="dxa"/>
          </w:tcPr>
          <w:p w:rsidR="001A0263" w:rsidRPr="0023087C" w:rsidRDefault="001A0263" w:rsidP="001A0263">
            <w:pPr>
              <w:spacing w:before="60" w:after="60"/>
              <w:rPr>
                <w:sz w:val="22"/>
                <w:szCs w:val="22"/>
                <w:lang w:val="ro-RO"/>
              </w:rPr>
            </w:pPr>
            <w:r w:rsidRPr="0023087C">
              <w:rPr>
                <w:sz w:val="22"/>
                <w:szCs w:val="22"/>
                <w:lang w:val="ro-RO"/>
              </w:rPr>
              <w:t>1. Rapoartele de progres ăn implementarea Strategiei după cum sunt cerute de Decretul Guvernului Nr. 573 de la 6 august 2013.</w:t>
            </w:r>
          </w:p>
          <w:p w:rsidR="001A0263" w:rsidRPr="0023087C" w:rsidRDefault="001A0263" w:rsidP="001A0263">
            <w:pPr>
              <w:spacing w:before="60" w:after="60"/>
              <w:rPr>
                <w:i/>
                <w:iCs/>
                <w:sz w:val="22"/>
                <w:szCs w:val="22"/>
                <w:lang w:val="ro-RO"/>
              </w:rPr>
            </w:pPr>
            <w:r w:rsidRPr="0023087C">
              <w:rPr>
                <w:lang w:val="ro-RO"/>
              </w:rPr>
              <w:t>2. Rapoartele relevante ale IMF, WB, EU</w:t>
            </w:r>
          </w:p>
        </w:tc>
      </w:tr>
      <w:tr w:rsidR="001A0263" w:rsidRPr="0023087C" w:rsidTr="001A0263">
        <w:trPr>
          <w:jc w:val="center"/>
        </w:trPr>
        <w:tc>
          <w:tcPr>
            <w:tcW w:w="2293" w:type="dxa"/>
            <w:shd w:val="clear" w:color="auto" w:fill="D9D9D9" w:themeFill="background1" w:themeFillShade="D9"/>
          </w:tcPr>
          <w:p w:rsidR="001A0263" w:rsidRPr="0023087C" w:rsidRDefault="001A0263" w:rsidP="001A0263">
            <w:pPr>
              <w:spacing w:before="60" w:after="60"/>
              <w:rPr>
                <w:b/>
                <w:i/>
                <w:iCs/>
                <w:sz w:val="22"/>
                <w:szCs w:val="22"/>
                <w:lang w:val="ro-RO"/>
              </w:rPr>
            </w:pPr>
            <w:r w:rsidRPr="0023087C">
              <w:rPr>
                <w:b/>
                <w:sz w:val="22"/>
                <w:szCs w:val="22"/>
                <w:lang w:val="ro-RO"/>
              </w:rPr>
              <w:t>Transparență și supraveghere</w:t>
            </w:r>
          </w:p>
        </w:tc>
        <w:tc>
          <w:tcPr>
            <w:tcW w:w="4052" w:type="dxa"/>
          </w:tcPr>
          <w:p w:rsidR="001A0263" w:rsidRPr="0023087C" w:rsidRDefault="001A0263" w:rsidP="001A0263">
            <w:pPr>
              <w:tabs>
                <w:tab w:val="left" w:pos="511"/>
              </w:tabs>
              <w:spacing w:before="120" w:after="120"/>
              <w:jc w:val="both"/>
              <w:rPr>
                <w:lang w:val="ro-RO"/>
              </w:rPr>
            </w:pPr>
            <w:r w:rsidRPr="0023087C">
              <w:rPr>
                <w:lang w:val="ro-RO"/>
              </w:rPr>
              <w:t>Progres satisfăcător în legătură cu disponibilitatea informației bugetare accesibile, cuprinzătoare, clare și în timp util.</w:t>
            </w:r>
          </w:p>
        </w:tc>
        <w:tc>
          <w:tcPr>
            <w:tcW w:w="3114" w:type="dxa"/>
          </w:tcPr>
          <w:p w:rsidR="001A0263" w:rsidRPr="0023087C" w:rsidRDefault="001A0263" w:rsidP="001A0263">
            <w:pPr>
              <w:spacing w:before="60" w:after="60"/>
              <w:rPr>
                <w:sz w:val="22"/>
                <w:szCs w:val="22"/>
                <w:lang w:val="ro-RO"/>
              </w:rPr>
            </w:pPr>
            <w:r w:rsidRPr="0023087C">
              <w:rPr>
                <w:sz w:val="22"/>
                <w:szCs w:val="22"/>
                <w:lang w:val="ro-RO"/>
              </w:rPr>
              <w:t>1. Publicațiile Oficiale ale Guvernului și site-le relevante.</w:t>
            </w:r>
          </w:p>
          <w:p w:rsidR="001A0263" w:rsidRPr="0023087C" w:rsidRDefault="001A0263" w:rsidP="001A0263">
            <w:pPr>
              <w:spacing w:before="60" w:after="60"/>
              <w:rPr>
                <w:sz w:val="22"/>
                <w:szCs w:val="22"/>
                <w:lang w:val="ro-RO"/>
              </w:rPr>
            </w:pPr>
            <w:r w:rsidRPr="0023087C">
              <w:rPr>
                <w:sz w:val="22"/>
                <w:szCs w:val="22"/>
                <w:lang w:val="ro-RO"/>
              </w:rPr>
              <w:t>2. Studii și rapoarte deschise legate de buget.</w:t>
            </w:r>
          </w:p>
        </w:tc>
      </w:tr>
    </w:tbl>
    <w:p w:rsidR="001A0263" w:rsidRPr="0023087C" w:rsidRDefault="001A0263" w:rsidP="001A0263">
      <w:pPr>
        <w:rPr>
          <w:b/>
          <w:i/>
          <w:lang w:val="ro-RO"/>
        </w:rPr>
      </w:pPr>
    </w:p>
    <w:p w:rsidR="001A0263" w:rsidRPr="0023087C" w:rsidRDefault="001A0263" w:rsidP="001A0263">
      <w:pPr>
        <w:pStyle w:val="afc"/>
        <w:numPr>
          <w:ilvl w:val="0"/>
          <w:numId w:val="8"/>
        </w:numPr>
        <w:tabs>
          <w:tab w:val="left" w:pos="511"/>
        </w:tabs>
        <w:spacing w:before="120" w:after="120"/>
        <w:ind w:left="360"/>
        <w:contextualSpacing w:val="0"/>
        <w:jc w:val="both"/>
        <w:rPr>
          <w:b/>
          <w:sz w:val="24"/>
          <w:szCs w:val="24"/>
        </w:rPr>
        <w:sectPr w:rsidR="001A0263" w:rsidRPr="0023087C" w:rsidSect="001A0263">
          <w:headerReference w:type="default" r:id="rId8"/>
          <w:footerReference w:type="even" r:id="rId9"/>
          <w:footerReference w:type="default" r:id="rId10"/>
          <w:pgSz w:w="11906" w:h="16838"/>
          <w:pgMar w:top="1417" w:right="1417" w:bottom="1258" w:left="2268" w:header="708" w:footer="708" w:gutter="0"/>
          <w:cols w:space="708"/>
          <w:docGrid w:linePitch="360"/>
        </w:sectPr>
      </w:pPr>
    </w:p>
    <w:p w:rsidR="001A0263" w:rsidRPr="0023087C" w:rsidRDefault="001A0263" w:rsidP="001A0263">
      <w:pPr>
        <w:pStyle w:val="afc"/>
        <w:numPr>
          <w:ilvl w:val="0"/>
          <w:numId w:val="8"/>
        </w:numPr>
        <w:tabs>
          <w:tab w:val="left" w:pos="511"/>
        </w:tabs>
        <w:spacing w:before="120" w:after="120"/>
        <w:ind w:left="360"/>
        <w:contextualSpacing w:val="0"/>
        <w:jc w:val="both"/>
        <w:rPr>
          <w:b/>
          <w:sz w:val="24"/>
          <w:szCs w:val="24"/>
        </w:rPr>
      </w:pPr>
      <w:r w:rsidRPr="0023087C">
        <w:rPr>
          <w:b/>
          <w:sz w:val="24"/>
          <w:szCs w:val="24"/>
        </w:rPr>
        <w:lastRenderedPageBreak/>
        <w:t>Condițiile Specifice</w:t>
      </w:r>
    </w:p>
    <w:p w:rsidR="001A0263" w:rsidRPr="0023087C" w:rsidRDefault="001A0263" w:rsidP="001A0263">
      <w:pPr>
        <w:spacing w:before="120" w:after="120"/>
        <w:jc w:val="both"/>
        <w:rPr>
          <w:lang w:val="ro-RO"/>
        </w:rPr>
      </w:pPr>
      <w:r w:rsidRPr="0023087C">
        <w:rPr>
          <w:lang w:val="ro-RO"/>
        </w:rPr>
        <w:t>Spre deosebire cu Condițiile Generale care trebuie toate îndeplinite pentru plata oricărui tip de tranșe, Condițiile Specifice sunt numai aplicate pentru evaluarea și debursarea tranșelor individuale, după cum este specificat mai jos.</w:t>
      </w:r>
    </w:p>
    <w:p w:rsidR="001A0263" w:rsidRPr="0023087C" w:rsidRDefault="001A0263" w:rsidP="001A0263">
      <w:pPr>
        <w:spacing w:before="120" w:after="120"/>
        <w:jc w:val="center"/>
        <w:rPr>
          <w:b/>
          <w:lang w:val="ro-RO"/>
        </w:rPr>
      </w:pPr>
      <w:r w:rsidRPr="0023087C">
        <w:rPr>
          <w:b/>
          <w:lang w:val="ro-RO"/>
        </w:rPr>
        <w:t>Tabelul C: Condiții Specifice pentru eliberarea tranșelor variabile (Matricea Reformelor de Politici)</w:t>
      </w:r>
    </w:p>
    <w:p w:rsidR="001A0263" w:rsidRPr="0023087C" w:rsidRDefault="001A0263" w:rsidP="001A0263">
      <w:pPr>
        <w:spacing w:before="120"/>
        <w:jc w:val="both"/>
        <w:rPr>
          <w:lang w:val="ro-RO"/>
        </w:rPr>
      </w:pPr>
    </w:p>
    <w:tbl>
      <w:tblPr>
        <w:tblStyle w:val="af6"/>
        <w:tblW w:w="0" w:type="auto"/>
        <w:tblLook w:val="04A0" w:firstRow="1" w:lastRow="0" w:firstColumn="1" w:lastColumn="0" w:noHBand="0" w:noVBand="1"/>
      </w:tblPr>
      <w:tblGrid>
        <w:gridCol w:w="4467"/>
        <w:gridCol w:w="4457"/>
        <w:gridCol w:w="4469"/>
      </w:tblGrid>
      <w:tr w:rsidR="001A0263" w:rsidRPr="0023087C" w:rsidTr="001A0263">
        <w:trPr>
          <w:tblHeader/>
        </w:trPr>
        <w:tc>
          <w:tcPr>
            <w:tcW w:w="14390" w:type="dxa"/>
            <w:gridSpan w:val="3"/>
            <w:shd w:val="clear" w:color="auto" w:fill="A6A6A6" w:themeFill="background1" w:themeFillShade="A6"/>
          </w:tcPr>
          <w:p w:rsidR="001A0263" w:rsidRPr="0023087C" w:rsidRDefault="001A0263" w:rsidP="001A0263">
            <w:pPr>
              <w:spacing w:before="40" w:after="40"/>
              <w:jc w:val="center"/>
              <w:rPr>
                <w:sz w:val="22"/>
                <w:szCs w:val="22"/>
                <w:lang w:val="ro-RO"/>
              </w:rPr>
            </w:pPr>
            <w:r w:rsidRPr="0023087C">
              <w:rPr>
                <w:b/>
                <w:sz w:val="22"/>
                <w:szCs w:val="22"/>
                <w:lang w:val="ro-RO"/>
              </w:rPr>
              <w:t>Programul: Suport pentru reformele politicilor finanțelor publice în Moldova</w:t>
            </w:r>
          </w:p>
        </w:tc>
      </w:tr>
      <w:tr w:rsidR="001A0263" w:rsidRPr="0023087C" w:rsidTr="001A0263">
        <w:trPr>
          <w:tblHeader/>
        </w:trPr>
        <w:tc>
          <w:tcPr>
            <w:tcW w:w="4796" w:type="dxa"/>
            <w:shd w:val="clear" w:color="auto" w:fill="BFBFBF" w:themeFill="background1" w:themeFillShade="BF"/>
          </w:tcPr>
          <w:p w:rsidR="001A0263" w:rsidRPr="0023087C" w:rsidRDefault="001A0263" w:rsidP="001A0263">
            <w:pPr>
              <w:spacing w:before="40" w:after="40"/>
              <w:jc w:val="center"/>
              <w:rPr>
                <w:b/>
                <w:sz w:val="22"/>
                <w:szCs w:val="22"/>
                <w:lang w:val="ro-RO"/>
              </w:rPr>
            </w:pPr>
            <w:r w:rsidRPr="0023087C">
              <w:rPr>
                <w:b/>
                <w:sz w:val="22"/>
                <w:szCs w:val="22"/>
                <w:lang w:val="ro-RO"/>
              </w:rPr>
              <w:t>Prima Rată Variabilă (8 milioane euro)</w:t>
            </w:r>
          </w:p>
          <w:p w:rsidR="001A0263" w:rsidRPr="0023087C" w:rsidRDefault="001A0263" w:rsidP="001A0263">
            <w:pPr>
              <w:spacing w:before="40" w:after="40"/>
              <w:jc w:val="center"/>
              <w:rPr>
                <w:b/>
                <w:sz w:val="22"/>
                <w:szCs w:val="22"/>
                <w:lang w:val="ro-RO"/>
              </w:rPr>
            </w:pPr>
            <w:r w:rsidRPr="0023087C">
              <w:rPr>
                <w:b/>
                <w:sz w:val="22"/>
                <w:szCs w:val="22"/>
                <w:lang w:val="ro-RO"/>
              </w:rPr>
              <w:t>Îndeplinire: pînă la finele 2015</w:t>
            </w:r>
          </w:p>
          <w:p w:rsidR="001A0263" w:rsidRPr="0023087C" w:rsidRDefault="001A0263" w:rsidP="001A0263">
            <w:pPr>
              <w:spacing w:before="40" w:after="40"/>
              <w:jc w:val="center"/>
              <w:rPr>
                <w:b/>
                <w:sz w:val="22"/>
                <w:szCs w:val="22"/>
                <w:lang w:val="ro-RO"/>
              </w:rPr>
            </w:pPr>
            <w:r w:rsidRPr="0023087C">
              <w:rPr>
                <w:b/>
                <w:sz w:val="22"/>
                <w:szCs w:val="22"/>
                <w:lang w:val="ro-RO"/>
              </w:rPr>
              <w:t>Evaluare: pînă la luna mai 2016</w:t>
            </w:r>
          </w:p>
          <w:p w:rsidR="001A0263" w:rsidRPr="0023087C" w:rsidRDefault="001A0263" w:rsidP="001A0263">
            <w:pPr>
              <w:spacing w:before="40" w:after="40"/>
              <w:jc w:val="center"/>
              <w:rPr>
                <w:b/>
                <w:sz w:val="22"/>
                <w:szCs w:val="22"/>
                <w:lang w:val="ro-RO"/>
              </w:rPr>
            </w:pPr>
            <w:r w:rsidRPr="0023087C">
              <w:rPr>
                <w:b/>
                <w:sz w:val="22"/>
                <w:szCs w:val="22"/>
                <w:lang w:val="ro-RO"/>
              </w:rPr>
              <w:t xml:space="preserve">Debursare: pînă la luna iulie 2016 </w:t>
            </w:r>
          </w:p>
        </w:tc>
        <w:tc>
          <w:tcPr>
            <w:tcW w:w="4797" w:type="dxa"/>
            <w:shd w:val="clear" w:color="auto" w:fill="BFBFBF" w:themeFill="background1" w:themeFillShade="BF"/>
          </w:tcPr>
          <w:p w:rsidR="001A0263" w:rsidRPr="0023087C" w:rsidRDefault="001A0263" w:rsidP="001A0263">
            <w:pPr>
              <w:spacing w:before="40" w:after="40"/>
              <w:jc w:val="center"/>
              <w:rPr>
                <w:b/>
                <w:sz w:val="22"/>
                <w:szCs w:val="22"/>
                <w:lang w:val="ro-RO"/>
              </w:rPr>
            </w:pPr>
            <w:r w:rsidRPr="0023087C">
              <w:rPr>
                <w:b/>
                <w:sz w:val="22"/>
                <w:szCs w:val="22"/>
                <w:lang w:val="ro-RO"/>
              </w:rPr>
              <w:t>A Doua Rată Variabilă (8 milioane euro)</w:t>
            </w:r>
          </w:p>
          <w:p w:rsidR="001A0263" w:rsidRPr="0023087C" w:rsidRDefault="001A0263" w:rsidP="001A0263">
            <w:pPr>
              <w:spacing w:before="40" w:after="40"/>
              <w:jc w:val="center"/>
              <w:rPr>
                <w:b/>
                <w:sz w:val="22"/>
                <w:szCs w:val="22"/>
                <w:lang w:val="ro-RO"/>
              </w:rPr>
            </w:pPr>
            <w:r w:rsidRPr="0023087C">
              <w:rPr>
                <w:b/>
                <w:sz w:val="22"/>
                <w:szCs w:val="22"/>
                <w:lang w:val="ro-RO"/>
              </w:rPr>
              <w:t>Îndeplinire: pînă la finele 2016</w:t>
            </w:r>
          </w:p>
          <w:p w:rsidR="001A0263" w:rsidRPr="0023087C" w:rsidRDefault="001A0263" w:rsidP="001A0263">
            <w:pPr>
              <w:spacing w:before="40" w:after="40"/>
              <w:jc w:val="center"/>
              <w:rPr>
                <w:b/>
                <w:sz w:val="22"/>
                <w:szCs w:val="22"/>
                <w:lang w:val="ro-RO"/>
              </w:rPr>
            </w:pPr>
            <w:r w:rsidRPr="0023087C">
              <w:rPr>
                <w:b/>
                <w:sz w:val="22"/>
                <w:szCs w:val="22"/>
                <w:lang w:val="ro-RO"/>
              </w:rPr>
              <w:t>Evaluare: pînă la luna mai 2017</w:t>
            </w:r>
          </w:p>
          <w:p w:rsidR="001A0263" w:rsidRPr="0023087C" w:rsidRDefault="001A0263" w:rsidP="001A0263">
            <w:pPr>
              <w:spacing w:before="40" w:after="40"/>
              <w:jc w:val="center"/>
              <w:rPr>
                <w:b/>
                <w:sz w:val="22"/>
                <w:szCs w:val="22"/>
                <w:lang w:val="ro-RO"/>
              </w:rPr>
            </w:pPr>
            <w:r w:rsidRPr="0023087C">
              <w:rPr>
                <w:b/>
                <w:sz w:val="22"/>
                <w:szCs w:val="22"/>
                <w:lang w:val="ro-RO"/>
              </w:rPr>
              <w:t>Debursare: pînă la luna iulie 2017</w:t>
            </w:r>
          </w:p>
        </w:tc>
        <w:tc>
          <w:tcPr>
            <w:tcW w:w="4797" w:type="dxa"/>
            <w:shd w:val="clear" w:color="auto" w:fill="BFBFBF" w:themeFill="background1" w:themeFillShade="BF"/>
          </w:tcPr>
          <w:p w:rsidR="001A0263" w:rsidRPr="0023087C" w:rsidRDefault="001A0263" w:rsidP="001A0263">
            <w:pPr>
              <w:spacing w:before="40" w:after="40"/>
              <w:jc w:val="center"/>
              <w:rPr>
                <w:b/>
                <w:sz w:val="22"/>
                <w:szCs w:val="22"/>
                <w:lang w:val="ro-RO"/>
              </w:rPr>
            </w:pPr>
            <w:r w:rsidRPr="0023087C">
              <w:rPr>
                <w:b/>
                <w:sz w:val="22"/>
                <w:szCs w:val="22"/>
                <w:lang w:val="ro-RO"/>
              </w:rPr>
              <w:t>A Treia Rată Variabilă (9 milioane euro)</w:t>
            </w:r>
          </w:p>
          <w:p w:rsidR="001A0263" w:rsidRPr="0023087C" w:rsidRDefault="001A0263" w:rsidP="001A0263">
            <w:pPr>
              <w:spacing w:before="40" w:after="40"/>
              <w:jc w:val="center"/>
              <w:rPr>
                <w:b/>
                <w:sz w:val="22"/>
                <w:szCs w:val="22"/>
                <w:lang w:val="ro-RO"/>
              </w:rPr>
            </w:pPr>
            <w:r w:rsidRPr="0023087C">
              <w:rPr>
                <w:b/>
                <w:sz w:val="22"/>
                <w:szCs w:val="22"/>
                <w:lang w:val="ro-RO"/>
              </w:rPr>
              <w:t>Îndeplinire: pînă la finele 2017</w:t>
            </w:r>
          </w:p>
          <w:p w:rsidR="001A0263" w:rsidRPr="0023087C" w:rsidRDefault="001A0263" w:rsidP="001A0263">
            <w:pPr>
              <w:spacing w:before="40" w:after="40"/>
              <w:jc w:val="center"/>
              <w:rPr>
                <w:b/>
                <w:sz w:val="22"/>
                <w:szCs w:val="22"/>
                <w:lang w:val="ro-RO"/>
              </w:rPr>
            </w:pPr>
            <w:r w:rsidRPr="0023087C">
              <w:rPr>
                <w:b/>
                <w:sz w:val="22"/>
                <w:szCs w:val="22"/>
                <w:lang w:val="ro-RO"/>
              </w:rPr>
              <w:t>Evaluare: pînă la luna mai 2018</w:t>
            </w:r>
          </w:p>
          <w:p w:rsidR="001A0263" w:rsidRPr="0023087C" w:rsidRDefault="001A0263" w:rsidP="001A0263">
            <w:pPr>
              <w:spacing w:before="40" w:after="40"/>
              <w:jc w:val="center"/>
              <w:rPr>
                <w:b/>
                <w:sz w:val="22"/>
                <w:szCs w:val="22"/>
                <w:lang w:val="ro-RO"/>
              </w:rPr>
            </w:pPr>
            <w:r w:rsidRPr="0023087C">
              <w:rPr>
                <w:b/>
                <w:sz w:val="22"/>
                <w:szCs w:val="22"/>
                <w:lang w:val="ro-RO"/>
              </w:rPr>
              <w:t>Debursare: pînă la luna iulie 2018</w:t>
            </w:r>
          </w:p>
        </w:tc>
      </w:tr>
      <w:tr w:rsidR="001A0263" w:rsidRPr="0023087C" w:rsidTr="001A0263">
        <w:tc>
          <w:tcPr>
            <w:tcW w:w="14390" w:type="dxa"/>
            <w:gridSpan w:val="3"/>
            <w:shd w:val="clear" w:color="auto" w:fill="D9D9D9" w:themeFill="background1" w:themeFillShade="D9"/>
          </w:tcPr>
          <w:p w:rsidR="001A0263" w:rsidRPr="0023087C" w:rsidRDefault="001A0263" w:rsidP="001A0263">
            <w:pPr>
              <w:pStyle w:val="afc"/>
              <w:numPr>
                <w:ilvl w:val="0"/>
                <w:numId w:val="6"/>
              </w:numPr>
              <w:spacing w:before="40" w:after="40"/>
              <w:contextualSpacing w:val="0"/>
              <w:jc w:val="center"/>
              <w:rPr>
                <w:b/>
              </w:rPr>
            </w:pPr>
            <w:r w:rsidRPr="0023087C">
              <w:rPr>
                <w:b/>
              </w:rPr>
              <w:t>Guvernul Republicii Moldova (GRM), Ministerul Finanțelor (MF)</w:t>
            </w:r>
          </w:p>
        </w:tc>
      </w:tr>
      <w:tr w:rsidR="001A0263" w:rsidRPr="0023087C" w:rsidTr="001A0263">
        <w:tc>
          <w:tcPr>
            <w:tcW w:w="14390" w:type="dxa"/>
            <w:gridSpan w:val="3"/>
            <w:shd w:val="clear" w:color="auto" w:fill="F2F2F2" w:themeFill="background1" w:themeFillShade="F2"/>
          </w:tcPr>
          <w:p w:rsidR="001A0263" w:rsidRPr="0023087C" w:rsidRDefault="001A0263" w:rsidP="001A0263">
            <w:pPr>
              <w:spacing w:before="40" w:after="40"/>
              <w:rPr>
                <w:b/>
                <w:sz w:val="22"/>
                <w:szCs w:val="22"/>
                <w:lang w:val="ro-RO"/>
              </w:rPr>
            </w:pPr>
            <w:r w:rsidRPr="0023087C">
              <w:rPr>
                <w:b/>
                <w:sz w:val="22"/>
                <w:szCs w:val="22"/>
                <w:lang w:val="ro-RO"/>
              </w:rPr>
              <w:t>Condiția A1: Îmbunătățirea administrării fiscale și sporirea instituțiilor fiscale independente</w:t>
            </w:r>
          </w:p>
        </w:tc>
      </w:tr>
      <w:tr w:rsidR="001A0263" w:rsidRPr="0023087C" w:rsidTr="001A0263">
        <w:tc>
          <w:tcPr>
            <w:tcW w:w="4796" w:type="dxa"/>
          </w:tcPr>
          <w:p w:rsidR="001A0263" w:rsidRPr="0023087C" w:rsidRDefault="001A0263" w:rsidP="001A0263">
            <w:pPr>
              <w:spacing w:before="40" w:after="40"/>
              <w:rPr>
                <w:sz w:val="22"/>
                <w:szCs w:val="22"/>
                <w:lang w:val="ro-RO"/>
              </w:rPr>
            </w:pPr>
            <w:r w:rsidRPr="0023087C">
              <w:rPr>
                <w:sz w:val="22"/>
                <w:szCs w:val="22"/>
                <w:lang w:val="ro-RO"/>
              </w:rPr>
              <w:t>A1.1  GRM produce o analiză preliminară (schiță) a Administrării Fiscale în Moldova în legătură cu Standardele UE legate de:</w:t>
            </w:r>
          </w:p>
          <w:p w:rsidR="001A0263" w:rsidRPr="0023087C" w:rsidRDefault="001A0263" w:rsidP="001A0263">
            <w:pPr>
              <w:pStyle w:val="afc"/>
              <w:numPr>
                <w:ilvl w:val="0"/>
                <w:numId w:val="11"/>
              </w:numPr>
              <w:spacing w:before="40" w:after="40"/>
              <w:ind w:left="216" w:hanging="216"/>
              <w:contextualSpacing w:val="0"/>
            </w:pPr>
            <w:r w:rsidRPr="0023087C">
              <w:t>Reguli Fiscale;</w:t>
            </w:r>
          </w:p>
          <w:p w:rsidR="001A0263" w:rsidRPr="0023087C" w:rsidRDefault="001A0263" w:rsidP="001A0263">
            <w:pPr>
              <w:pStyle w:val="afc"/>
              <w:numPr>
                <w:ilvl w:val="0"/>
                <w:numId w:val="11"/>
              </w:numPr>
              <w:spacing w:before="40" w:after="40"/>
              <w:ind w:left="216" w:hanging="216"/>
              <w:contextualSpacing w:val="0"/>
            </w:pPr>
            <w:r w:rsidRPr="0023087C">
              <w:t>Instituții Fiscale Independente;</w:t>
            </w:r>
          </w:p>
          <w:p w:rsidR="001A0263" w:rsidRPr="0023087C" w:rsidRDefault="001A0263" w:rsidP="001A0263">
            <w:pPr>
              <w:pStyle w:val="afc"/>
              <w:numPr>
                <w:ilvl w:val="0"/>
                <w:numId w:val="11"/>
              </w:numPr>
              <w:spacing w:before="40" w:after="40"/>
              <w:ind w:left="216" w:hanging="216"/>
              <w:contextualSpacing w:val="0"/>
            </w:pPr>
            <w:r w:rsidRPr="0023087C">
              <w:t>Cadru Bugetar pe Termen Mediu (CBTM).</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 xml:space="preserve">A.1.1 GRM publică o analiză a Administrării Fiscale precum și un document succint explicînd în termeni non-tehnici pentru media și societatea civilă avantajele unei administrări fiscale îmbunătățite pentru societate. </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A.1.1 În urma întîlnirilor și consultațiilor cu societatea civilă în baza analizei, GRM publică un raport final despre măsurile necesare pentru a apropria Administrarea Fiscală a Moldovei de standardele UE ce țin de regulile fiscale, instituțiile fiscale independente și CBTM.</w:t>
            </w:r>
          </w:p>
        </w:tc>
      </w:tr>
      <w:tr w:rsidR="001A0263" w:rsidRPr="0023087C" w:rsidTr="001A0263">
        <w:tc>
          <w:tcPr>
            <w:tcW w:w="4796"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lang w:val="ro-RO"/>
              </w:rPr>
            </w:pPr>
            <w:r w:rsidRPr="0023087C">
              <w:rPr>
                <w:sz w:val="22"/>
                <w:szCs w:val="22"/>
                <w:lang w:val="ro-RO"/>
              </w:rPr>
              <w:t>Transmiterea schiței din partea la MF către Delegația UE</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u w:val="single"/>
                <w:lang w:val="ro-RO"/>
              </w:rPr>
            </w:pPr>
            <w:r w:rsidRPr="0023087C">
              <w:rPr>
                <w:sz w:val="22"/>
                <w:szCs w:val="22"/>
                <w:lang w:val="ro-RO"/>
              </w:rPr>
              <w:t>Site-ul MF și publicațiile oficiale ale Guvernului.</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lang w:val="ro-RO"/>
              </w:rPr>
            </w:pPr>
            <w:r w:rsidRPr="0023087C">
              <w:rPr>
                <w:sz w:val="22"/>
                <w:szCs w:val="22"/>
                <w:lang w:val="ro-RO"/>
              </w:rPr>
              <w:t>Site-ul MF și publicațiile oficiale ale Guvernului</w:t>
            </w:r>
          </w:p>
        </w:tc>
      </w:tr>
      <w:tr w:rsidR="001A0263" w:rsidRPr="0023087C" w:rsidTr="001A0263">
        <w:tc>
          <w:tcPr>
            <w:tcW w:w="4796" w:type="dxa"/>
          </w:tcPr>
          <w:p w:rsidR="001A0263" w:rsidRPr="0023087C" w:rsidRDefault="001A0263" w:rsidP="001A0263">
            <w:pPr>
              <w:spacing w:before="40" w:after="40"/>
              <w:rPr>
                <w:sz w:val="22"/>
                <w:szCs w:val="22"/>
                <w:lang w:val="ro-RO"/>
              </w:rPr>
            </w:pPr>
            <w:r w:rsidRPr="0023087C">
              <w:rPr>
                <w:sz w:val="22"/>
                <w:szCs w:val="22"/>
                <w:lang w:val="ro-RO"/>
              </w:rPr>
              <w:t xml:space="preserve">A1.2 GRM pregătește și publică o analiză furnizînd o evaluare a relevanței și a posibilului design a unui Consiliu Fiscal independent în contextul Moldovenesc. </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A1.2 2016: GRM organizează întîlniri și consultații cu societatea civilă în baza analizei și publică un raport despre rezultate.</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 xml:space="preserve">A1.2 2017: GRM publică un raport conclusiv schimbările necesare în legislație pentru stabilirea unui Consiliu Fiscal independent în concordanță cu standardele internaționale. </w:t>
            </w:r>
          </w:p>
        </w:tc>
      </w:tr>
      <w:tr w:rsidR="001A0263" w:rsidRPr="0023087C" w:rsidTr="001A0263">
        <w:tc>
          <w:tcPr>
            <w:tcW w:w="4796"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lang w:val="ro-RO"/>
              </w:rPr>
            </w:pPr>
            <w:r w:rsidRPr="0023087C">
              <w:rPr>
                <w:sz w:val="22"/>
                <w:szCs w:val="22"/>
                <w:lang w:val="ro-RO"/>
              </w:rPr>
              <w:t xml:space="preserve">Site-le și publicațiile oficiale ale MF și GRM. </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u w:val="single"/>
                <w:lang w:val="ro-RO"/>
              </w:rPr>
            </w:pPr>
            <w:r w:rsidRPr="0023087C">
              <w:rPr>
                <w:sz w:val="22"/>
                <w:szCs w:val="22"/>
                <w:lang w:val="ro-RO"/>
              </w:rPr>
              <w:t>Site-le și publicațiile oficiale ale MF și Guvernului.</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u w:val="single"/>
                <w:lang w:val="ro-RO"/>
              </w:rPr>
            </w:pPr>
            <w:r w:rsidRPr="0023087C">
              <w:rPr>
                <w:sz w:val="22"/>
                <w:szCs w:val="22"/>
                <w:lang w:val="ro-RO"/>
              </w:rPr>
              <w:t>Site-le și publicațiile oficiale ale MF și GRM.</w:t>
            </w:r>
          </w:p>
        </w:tc>
      </w:tr>
      <w:tr w:rsidR="001A0263" w:rsidRPr="0023087C" w:rsidTr="001A0263">
        <w:tc>
          <w:tcPr>
            <w:tcW w:w="14390" w:type="dxa"/>
            <w:gridSpan w:val="3"/>
            <w:shd w:val="clear" w:color="auto" w:fill="F2F2F2" w:themeFill="background1" w:themeFillShade="F2"/>
          </w:tcPr>
          <w:p w:rsidR="001A0263" w:rsidRPr="0023087C" w:rsidRDefault="001A0263" w:rsidP="001A0263">
            <w:pPr>
              <w:spacing w:before="40" w:after="40"/>
              <w:rPr>
                <w:b/>
                <w:sz w:val="22"/>
                <w:szCs w:val="22"/>
                <w:lang w:val="ro-RO"/>
              </w:rPr>
            </w:pPr>
            <w:r w:rsidRPr="0023087C">
              <w:rPr>
                <w:b/>
                <w:sz w:val="22"/>
                <w:szCs w:val="22"/>
                <w:lang w:val="ro-RO"/>
              </w:rPr>
              <w:t>Condiția A2: Consolidarea planificării pe Termen Mediu și Îmbunătățirea accesului public la informația bugetară</w:t>
            </w:r>
          </w:p>
        </w:tc>
      </w:tr>
      <w:tr w:rsidR="001A0263" w:rsidRPr="0023087C" w:rsidTr="001A0263">
        <w:tc>
          <w:tcPr>
            <w:tcW w:w="4796" w:type="dxa"/>
          </w:tcPr>
          <w:p w:rsidR="001A0263" w:rsidRPr="0023087C" w:rsidRDefault="001A0263" w:rsidP="001A0263">
            <w:pPr>
              <w:spacing w:before="40" w:after="40"/>
              <w:rPr>
                <w:sz w:val="22"/>
                <w:szCs w:val="22"/>
                <w:lang w:val="ro-RO"/>
              </w:rPr>
            </w:pPr>
            <w:r w:rsidRPr="0023087C">
              <w:rPr>
                <w:sz w:val="22"/>
                <w:szCs w:val="22"/>
                <w:lang w:val="ro-RO"/>
              </w:rPr>
              <w:t xml:space="preserve">A2.1 GRM aprobă și publică Cadrul Bugetar pe Termen Mediu (CBTM) 2016-2018 pînă la </w:t>
            </w:r>
            <w:r w:rsidRPr="0023087C">
              <w:rPr>
                <w:sz w:val="22"/>
                <w:szCs w:val="22"/>
                <w:lang w:val="ro-RO"/>
              </w:rPr>
              <w:lastRenderedPageBreak/>
              <w:t>finele lunii iulie 2015. CBTM urmează să includă ipoteze macro-fiscale, plafoane fiscale cheie și prioritățile în cheltuieli.</w:t>
            </w:r>
          </w:p>
        </w:tc>
        <w:tc>
          <w:tcPr>
            <w:tcW w:w="4797" w:type="dxa"/>
          </w:tcPr>
          <w:p w:rsidR="001A0263" w:rsidRPr="0023087C" w:rsidRDefault="001A0263" w:rsidP="001A0263">
            <w:pPr>
              <w:spacing w:before="40" w:after="40"/>
              <w:rPr>
                <w:sz w:val="22"/>
                <w:szCs w:val="22"/>
                <w:lang w:val="ro-RO"/>
              </w:rPr>
            </w:pPr>
            <w:r w:rsidRPr="0023087C">
              <w:rPr>
                <w:sz w:val="22"/>
                <w:szCs w:val="22"/>
                <w:lang w:val="ro-RO"/>
              </w:rPr>
              <w:lastRenderedPageBreak/>
              <w:t xml:space="preserve">A2.1 GRM aprobă și publică (CBTM) 2017-2019 pînă la finele lunii iulie 2016. CBTM </w:t>
            </w:r>
            <w:r w:rsidRPr="0023087C">
              <w:rPr>
                <w:sz w:val="22"/>
                <w:szCs w:val="22"/>
                <w:lang w:val="ro-RO"/>
              </w:rPr>
              <w:lastRenderedPageBreak/>
              <w:t>urmează să includă ipoteze macro-fiscale, plafoane fiscale cheie și prioritățile în cheltuieli.</w:t>
            </w:r>
          </w:p>
        </w:tc>
        <w:tc>
          <w:tcPr>
            <w:tcW w:w="4797" w:type="dxa"/>
          </w:tcPr>
          <w:p w:rsidR="001A0263" w:rsidRPr="0023087C" w:rsidRDefault="001A0263" w:rsidP="001A0263">
            <w:pPr>
              <w:spacing w:before="40" w:after="40"/>
              <w:rPr>
                <w:sz w:val="22"/>
                <w:szCs w:val="22"/>
                <w:lang w:val="ro-RO"/>
              </w:rPr>
            </w:pPr>
            <w:r w:rsidRPr="0023087C">
              <w:rPr>
                <w:sz w:val="22"/>
                <w:szCs w:val="22"/>
                <w:lang w:val="ro-RO"/>
              </w:rPr>
              <w:lastRenderedPageBreak/>
              <w:t xml:space="preserve">A2.1 GRM aprobă și publică (CBTM) 2018-2020 pînă la finele lunii iulie 2017. CBTM </w:t>
            </w:r>
            <w:r w:rsidRPr="0023087C">
              <w:rPr>
                <w:sz w:val="22"/>
                <w:szCs w:val="22"/>
                <w:lang w:val="ro-RO"/>
              </w:rPr>
              <w:lastRenderedPageBreak/>
              <w:t>urmează să includă ipoteze macro-fiscale, plafoane fiscale cheie și prioritățile în cheltuieli.</w:t>
            </w:r>
          </w:p>
        </w:tc>
      </w:tr>
      <w:tr w:rsidR="001A0263" w:rsidRPr="0023087C" w:rsidTr="001A0263">
        <w:tc>
          <w:tcPr>
            <w:tcW w:w="4796" w:type="dxa"/>
          </w:tcPr>
          <w:p w:rsidR="001A0263" w:rsidRPr="0023087C" w:rsidRDefault="001A0263" w:rsidP="001A0263">
            <w:pPr>
              <w:spacing w:before="40" w:after="40"/>
              <w:rPr>
                <w:sz w:val="22"/>
                <w:szCs w:val="22"/>
                <w:u w:val="single"/>
                <w:lang w:val="ro-RO"/>
              </w:rPr>
            </w:pPr>
            <w:r w:rsidRPr="0023087C">
              <w:rPr>
                <w:sz w:val="22"/>
                <w:szCs w:val="22"/>
                <w:u w:val="single"/>
                <w:lang w:val="ro-RO"/>
              </w:rPr>
              <w:lastRenderedPageBreak/>
              <w:t>Sursă de verificare:</w:t>
            </w:r>
          </w:p>
          <w:p w:rsidR="001A0263" w:rsidRPr="0023087C" w:rsidRDefault="001A0263" w:rsidP="001A0263">
            <w:pPr>
              <w:spacing w:before="40" w:after="40"/>
              <w:rPr>
                <w:sz w:val="22"/>
                <w:szCs w:val="22"/>
                <w:lang w:val="ro-RO"/>
              </w:rPr>
            </w:pPr>
            <w:r w:rsidRPr="0023087C">
              <w:rPr>
                <w:sz w:val="22"/>
                <w:szCs w:val="22"/>
                <w:lang w:val="ro-RO"/>
              </w:rPr>
              <w:t>Acțiunea GRM de aprobare a CBTM;</w:t>
            </w:r>
          </w:p>
          <w:p w:rsidR="001A0263" w:rsidRPr="0023087C" w:rsidRDefault="001A0263" w:rsidP="001A0263">
            <w:pPr>
              <w:spacing w:before="40" w:after="40"/>
              <w:rPr>
                <w:sz w:val="22"/>
                <w:szCs w:val="22"/>
                <w:lang w:val="ro-RO"/>
              </w:rPr>
            </w:pPr>
            <w:r w:rsidRPr="0023087C">
              <w:rPr>
                <w:sz w:val="22"/>
                <w:szCs w:val="22"/>
                <w:lang w:val="ro-RO"/>
              </w:rPr>
              <w:t>Site-ul MF și publicațiile oficiale ale Guvernului.</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lang w:val="ro-RO"/>
              </w:rPr>
            </w:pPr>
            <w:r w:rsidRPr="0023087C">
              <w:rPr>
                <w:sz w:val="22"/>
                <w:szCs w:val="22"/>
                <w:lang w:val="ro-RO"/>
              </w:rPr>
              <w:t>Acțiunea GRM de aprobare a CBTM;</w:t>
            </w:r>
          </w:p>
          <w:p w:rsidR="001A0263" w:rsidRPr="0023087C" w:rsidRDefault="001A0263" w:rsidP="001A0263">
            <w:pPr>
              <w:spacing w:before="40" w:after="40"/>
              <w:rPr>
                <w:sz w:val="22"/>
                <w:szCs w:val="22"/>
                <w:u w:val="single"/>
                <w:lang w:val="ro-RO"/>
              </w:rPr>
            </w:pPr>
            <w:r w:rsidRPr="0023087C">
              <w:rPr>
                <w:sz w:val="22"/>
                <w:szCs w:val="22"/>
                <w:lang w:val="ro-RO"/>
              </w:rPr>
              <w:t>Site-ul MF și publicațiile oficiale ale Guvernului.</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lang w:val="ro-RO"/>
              </w:rPr>
            </w:pPr>
            <w:r w:rsidRPr="0023087C">
              <w:rPr>
                <w:sz w:val="22"/>
                <w:szCs w:val="22"/>
                <w:lang w:val="ro-RO"/>
              </w:rPr>
              <w:t>Acțiunea GRM de aprobare a CBTM;</w:t>
            </w:r>
          </w:p>
          <w:p w:rsidR="001A0263" w:rsidRPr="0023087C" w:rsidRDefault="001A0263" w:rsidP="001A0263">
            <w:pPr>
              <w:spacing w:before="40" w:after="40"/>
              <w:rPr>
                <w:sz w:val="22"/>
                <w:szCs w:val="22"/>
                <w:u w:val="single"/>
                <w:lang w:val="ro-RO"/>
              </w:rPr>
            </w:pPr>
            <w:r w:rsidRPr="0023087C">
              <w:rPr>
                <w:sz w:val="22"/>
                <w:szCs w:val="22"/>
                <w:lang w:val="ro-RO"/>
              </w:rPr>
              <w:t>Site-ul MF și publicațiile oficiale ale Guvernului.</w:t>
            </w:r>
          </w:p>
        </w:tc>
      </w:tr>
      <w:tr w:rsidR="001A0263" w:rsidRPr="0023087C" w:rsidTr="001A0263">
        <w:tc>
          <w:tcPr>
            <w:tcW w:w="4796" w:type="dxa"/>
          </w:tcPr>
          <w:p w:rsidR="001A0263" w:rsidRPr="0023087C" w:rsidRDefault="001A0263" w:rsidP="001A0263">
            <w:pPr>
              <w:spacing w:before="40" w:after="40"/>
              <w:rPr>
                <w:sz w:val="22"/>
                <w:szCs w:val="22"/>
                <w:lang w:val="ro-RO"/>
              </w:rPr>
            </w:pPr>
            <w:r w:rsidRPr="0023087C">
              <w:rPr>
                <w:sz w:val="22"/>
                <w:szCs w:val="22"/>
                <w:lang w:val="ro-RO"/>
              </w:rPr>
              <w:t xml:space="preserve">A2.2 MF pregătește și publică versiune pilot a ”Bugetului Populației” 2016. </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A2.2 Pînă la finele celui de al 3-lea trimestru al anului 2016  MF pregătește și publică ”Bugetul Populației” 2017.</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A2.2 Pînă la finele celui de al 3-lea trimestru al anului 2017  MF pregătește și publică ”Bugetul Populației” 2018.</w:t>
            </w:r>
          </w:p>
        </w:tc>
      </w:tr>
      <w:tr w:rsidR="001A0263" w:rsidRPr="0023087C" w:rsidTr="001A0263">
        <w:tc>
          <w:tcPr>
            <w:tcW w:w="4796"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lang w:val="ro-RO"/>
              </w:rPr>
            </w:pPr>
            <w:r w:rsidRPr="0023087C">
              <w:rPr>
                <w:sz w:val="22"/>
                <w:szCs w:val="22"/>
                <w:lang w:val="ro-RO"/>
              </w:rPr>
              <w:t>Site-ul și publicațiile oficiale ale MF.</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u w:val="single"/>
                <w:lang w:val="ro-RO"/>
              </w:rPr>
            </w:pPr>
            <w:r w:rsidRPr="0023087C">
              <w:rPr>
                <w:sz w:val="22"/>
                <w:szCs w:val="22"/>
                <w:lang w:val="ro-RO"/>
              </w:rPr>
              <w:t>Site-ul și publicațiile oficiale ale MF.</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u w:val="single"/>
                <w:lang w:val="ro-RO"/>
              </w:rPr>
            </w:pPr>
            <w:r w:rsidRPr="0023087C">
              <w:rPr>
                <w:sz w:val="22"/>
                <w:szCs w:val="22"/>
                <w:lang w:val="ro-RO"/>
              </w:rPr>
              <w:t>Site-ul și publicațiile oficiale ale MF.</w:t>
            </w:r>
          </w:p>
        </w:tc>
      </w:tr>
      <w:tr w:rsidR="001A0263" w:rsidRPr="0023087C" w:rsidTr="001A0263">
        <w:tc>
          <w:tcPr>
            <w:tcW w:w="14390" w:type="dxa"/>
            <w:gridSpan w:val="3"/>
            <w:shd w:val="clear" w:color="auto" w:fill="F2F2F2" w:themeFill="background1" w:themeFillShade="F2"/>
          </w:tcPr>
          <w:p w:rsidR="001A0263" w:rsidRPr="0023087C" w:rsidRDefault="001A0263" w:rsidP="001A0263">
            <w:pPr>
              <w:spacing w:before="40" w:after="40"/>
              <w:rPr>
                <w:b/>
                <w:sz w:val="22"/>
                <w:szCs w:val="22"/>
                <w:lang w:val="ro-RO"/>
              </w:rPr>
            </w:pPr>
            <w:r w:rsidRPr="0023087C">
              <w:rPr>
                <w:b/>
                <w:sz w:val="22"/>
                <w:szCs w:val="22"/>
                <w:lang w:val="ro-RO"/>
              </w:rPr>
              <w:t>Condiția A3: Îmbunătățirea controlului și raportării cheltuielilor</w:t>
            </w:r>
          </w:p>
        </w:tc>
      </w:tr>
      <w:tr w:rsidR="001A0263" w:rsidRPr="0023087C" w:rsidTr="001A0263">
        <w:tc>
          <w:tcPr>
            <w:tcW w:w="4796" w:type="dxa"/>
          </w:tcPr>
          <w:p w:rsidR="001A0263" w:rsidRPr="0023087C" w:rsidRDefault="001A0263" w:rsidP="001A0263">
            <w:pPr>
              <w:spacing w:before="40" w:after="40"/>
              <w:rPr>
                <w:sz w:val="22"/>
                <w:szCs w:val="22"/>
                <w:lang w:val="ro-RO"/>
              </w:rPr>
            </w:pPr>
            <w:r w:rsidRPr="0023087C">
              <w:rPr>
                <w:sz w:val="22"/>
                <w:szCs w:val="22"/>
                <w:lang w:val="ro-RO"/>
              </w:rPr>
              <w:t>A3.1 MF creează un Consiliu al Standardelor de Contabilitate ale Sectorul Public. Consiliul identifică și analizează discrepanțele dintre metodologiile de contabilitate și raportare ale sectorului public național și practicele internaționale.</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A3.1 MF produce și aprobă un Concept și un Plan de Acțiuni pentru dezvoltarea, adoptarea și introducerea standardelor de contabilitate ale sectorului public în concordanță cu practicele internaționale.</w:t>
            </w:r>
          </w:p>
          <w:p w:rsidR="001A0263" w:rsidRPr="0023087C" w:rsidRDefault="001A0263" w:rsidP="001A0263">
            <w:pPr>
              <w:spacing w:before="40" w:after="40"/>
              <w:rPr>
                <w:sz w:val="22"/>
                <w:szCs w:val="22"/>
                <w:lang w:val="ro-RO"/>
              </w:rPr>
            </w:pPr>
          </w:p>
        </w:tc>
        <w:tc>
          <w:tcPr>
            <w:tcW w:w="4797" w:type="dxa"/>
          </w:tcPr>
          <w:p w:rsidR="001A0263" w:rsidRPr="0023087C" w:rsidRDefault="001A0263" w:rsidP="001A0263">
            <w:pPr>
              <w:spacing w:before="40" w:after="40"/>
              <w:rPr>
                <w:sz w:val="22"/>
                <w:szCs w:val="22"/>
                <w:lang w:val="ro-RO"/>
              </w:rPr>
            </w:pPr>
            <w:r w:rsidRPr="0023087C">
              <w:rPr>
                <w:sz w:val="22"/>
                <w:szCs w:val="22"/>
                <w:lang w:val="ro-RO"/>
              </w:rPr>
              <w:t xml:space="preserve">A3.1 Primul set de standarde de contabilitate este publicat în concordanță cu Planul de Acțiuni. </w:t>
            </w:r>
          </w:p>
        </w:tc>
      </w:tr>
      <w:tr w:rsidR="001A0263" w:rsidRPr="0023087C" w:rsidTr="001A0263">
        <w:tc>
          <w:tcPr>
            <w:tcW w:w="4796"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lang w:val="ro-RO"/>
              </w:rPr>
            </w:pPr>
            <w:r w:rsidRPr="0023087C">
              <w:rPr>
                <w:sz w:val="22"/>
                <w:szCs w:val="22"/>
                <w:lang w:val="ro-RO"/>
              </w:rPr>
              <w:t>Ordinul MF.</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lang w:val="ro-RO"/>
              </w:rPr>
            </w:pPr>
            <w:r w:rsidRPr="0023087C">
              <w:rPr>
                <w:sz w:val="22"/>
                <w:szCs w:val="22"/>
                <w:lang w:val="ro-RO"/>
              </w:rPr>
              <w:t>Ordinul MF</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u w:val="single"/>
                <w:lang w:val="ro-RO"/>
              </w:rPr>
            </w:pPr>
            <w:r w:rsidRPr="0023087C">
              <w:rPr>
                <w:sz w:val="22"/>
                <w:szCs w:val="22"/>
                <w:lang w:val="ro-RO"/>
              </w:rPr>
              <w:t>Evaluările și rapoartele MF și Delegației UE.</w:t>
            </w:r>
          </w:p>
        </w:tc>
      </w:tr>
      <w:tr w:rsidR="001A0263" w:rsidRPr="0023087C" w:rsidTr="001A0263">
        <w:tc>
          <w:tcPr>
            <w:tcW w:w="4796" w:type="dxa"/>
          </w:tcPr>
          <w:p w:rsidR="001A0263" w:rsidRPr="0023087C" w:rsidRDefault="001A0263" w:rsidP="001A0263">
            <w:pPr>
              <w:spacing w:before="40" w:after="40"/>
              <w:rPr>
                <w:sz w:val="22"/>
                <w:szCs w:val="22"/>
                <w:lang w:val="ro-RO"/>
              </w:rPr>
            </w:pPr>
            <w:r w:rsidRPr="0023087C">
              <w:rPr>
                <w:sz w:val="22"/>
                <w:szCs w:val="22"/>
                <w:lang w:val="ro-RO"/>
              </w:rPr>
              <w:t xml:space="preserve">A3.2 MF finalizează formatele și procedurile de raportare la mijloc de an a implementării bugetului. </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A3.2 Pînă la finele celui de al 3-lea trimestru al 2016  MF pregătește și publică un raport de mijloc de an al implementării Bugetului de Stat 2016.</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A3.2 Pînă la finele celui de al 3-lea trimestru al 2017  MF pregătește și publică un raport de mijloc de an al implementării Bugetului de Stat 2017.</w:t>
            </w:r>
          </w:p>
        </w:tc>
      </w:tr>
      <w:tr w:rsidR="001A0263" w:rsidRPr="0023087C" w:rsidTr="001A0263">
        <w:tc>
          <w:tcPr>
            <w:tcW w:w="4796" w:type="dxa"/>
          </w:tcPr>
          <w:p w:rsidR="001A0263" w:rsidRPr="0023087C" w:rsidRDefault="001A0263" w:rsidP="001A0263">
            <w:pPr>
              <w:spacing w:before="40" w:after="40"/>
              <w:rPr>
                <w:sz w:val="22"/>
                <w:szCs w:val="22"/>
                <w:lang w:val="ro-RO"/>
              </w:rPr>
            </w:pPr>
            <w:r w:rsidRPr="0023087C">
              <w:rPr>
                <w:sz w:val="22"/>
                <w:szCs w:val="22"/>
                <w:lang w:val="ro-RO"/>
              </w:rPr>
              <w:t>Disponibilitatea documentelor relevante la MF.</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Site-ul MF și publicațiile oficiale ale Guvernului.</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Site-ul MF și publicațiile oficiale ale Guvernului.</w:t>
            </w:r>
          </w:p>
        </w:tc>
      </w:tr>
      <w:tr w:rsidR="001A0263" w:rsidRPr="0023087C" w:rsidTr="001A0263">
        <w:tc>
          <w:tcPr>
            <w:tcW w:w="14390" w:type="dxa"/>
            <w:gridSpan w:val="3"/>
          </w:tcPr>
          <w:p w:rsidR="001A0263" w:rsidRPr="0023087C" w:rsidRDefault="001A0263" w:rsidP="001A0263">
            <w:pPr>
              <w:spacing w:before="40" w:after="40"/>
              <w:rPr>
                <w:b/>
                <w:sz w:val="22"/>
                <w:szCs w:val="22"/>
                <w:lang w:val="ro-RO"/>
              </w:rPr>
            </w:pPr>
            <w:r w:rsidRPr="0023087C">
              <w:rPr>
                <w:b/>
                <w:sz w:val="22"/>
                <w:szCs w:val="22"/>
                <w:lang w:val="ro-RO"/>
              </w:rPr>
              <w:lastRenderedPageBreak/>
              <w:t>Condiția A4: Întărirea managementului datoriei publice</w:t>
            </w:r>
          </w:p>
        </w:tc>
      </w:tr>
      <w:tr w:rsidR="001A0263" w:rsidRPr="0023087C" w:rsidTr="001A0263">
        <w:tc>
          <w:tcPr>
            <w:tcW w:w="4796" w:type="dxa"/>
          </w:tcPr>
          <w:p w:rsidR="001A0263" w:rsidRPr="0023087C" w:rsidRDefault="001A0263" w:rsidP="001A0263">
            <w:pPr>
              <w:spacing w:before="40" w:after="40"/>
              <w:rPr>
                <w:sz w:val="22"/>
                <w:szCs w:val="22"/>
                <w:lang w:val="ro-RO"/>
              </w:rPr>
            </w:pPr>
            <w:r w:rsidRPr="0023087C">
              <w:rPr>
                <w:sz w:val="22"/>
                <w:szCs w:val="22"/>
                <w:lang w:val="ro-RO"/>
              </w:rPr>
              <w:t>A4.1 GRM alocă fonduri în Bugetul Statului 2015 pentru procurarea și instalarea unui Sistem de Management al Datoriei și Analiză Financiară actualizat, și pentru modernizarea de hardware și software a Direcției Generale Datorii Publice a MF</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 xml:space="preserve"> A4.1 2016: Sistemele de Management al Datoriei și Analiză Financiară sunt instalate. </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A4.1 Un raport consolidat furnizînd informație despre beneficiile training-urilor organizate de GRM, workshop-uri de validare a datelor și a statisticilor de datorii sunt pregătite și aprobate de MF.</w:t>
            </w:r>
          </w:p>
        </w:tc>
      </w:tr>
      <w:tr w:rsidR="001A0263" w:rsidRPr="0023087C" w:rsidTr="001A0263">
        <w:tc>
          <w:tcPr>
            <w:tcW w:w="4796"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u w:val="single"/>
                <w:lang w:val="ro-RO"/>
              </w:rPr>
            </w:pPr>
            <w:r w:rsidRPr="0023087C">
              <w:rPr>
                <w:sz w:val="22"/>
                <w:szCs w:val="22"/>
                <w:lang w:val="ro-RO"/>
              </w:rPr>
              <w:t>Bugetul de Stat 2015</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u w:val="single"/>
                <w:lang w:val="ro-RO"/>
              </w:rPr>
            </w:pPr>
            <w:r w:rsidRPr="0023087C">
              <w:rPr>
                <w:sz w:val="22"/>
                <w:szCs w:val="22"/>
                <w:lang w:val="ro-RO"/>
              </w:rPr>
              <w:t>Evaluarea MF și raportul de executare a bugetului 2015</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u w:val="single"/>
                <w:lang w:val="ro-RO"/>
              </w:rPr>
            </w:pPr>
            <w:r w:rsidRPr="0023087C">
              <w:rPr>
                <w:sz w:val="22"/>
                <w:szCs w:val="22"/>
                <w:lang w:val="ro-RO"/>
              </w:rPr>
              <w:t>Evaluările și rapoartele MF și Delegației UE.</w:t>
            </w:r>
          </w:p>
        </w:tc>
      </w:tr>
      <w:tr w:rsidR="001A0263" w:rsidRPr="0023087C" w:rsidTr="001A0263">
        <w:tc>
          <w:tcPr>
            <w:tcW w:w="14390" w:type="dxa"/>
            <w:gridSpan w:val="3"/>
            <w:shd w:val="clear" w:color="auto" w:fill="D9D9D9" w:themeFill="background1" w:themeFillShade="D9"/>
          </w:tcPr>
          <w:p w:rsidR="001A0263" w:rsidRPr="0023087C" w:rsidRDefault="001A0263" w:rsidP="001A0263">
            <w:pPr>
              <w:pStyle w:val="afc"/>
              <w:numPr>
                <w:ilvl w:val="0"/>
                <w:numId w:val="6"/>
              </w:numPr>
              <w:spacing w:before="40" w:after="40"/>
              <w:contextualSpacing w:val="0"/>
              <w:jc w:val="center"/>
              <w:rPr>
                <w:b/>
              </w:rPr>
            </w:pPr>
            <w:r w:rsidRPr="0023087C">
              <w:rPr>
                <w:b/>
              </w:rPr>
              <w:t>Parlamentul Republicii Moldova (Comisia Economie, Buget și Finanțe, PCEBF)</w:t>
            </w:r>
          </w:p>
        </w:tc>
      </w:tr>
      <w:tr w:rsidR="001A0263" w:rsidRPr="0023087C" w:rsidTr="001A0263">
        <w:tc>
          <w:tcPr>
            <w:tcW w:w="14390" w:type="dxa"/>
            <w:gridSpan w:val="3"/>
            <w:shd w:val="clear" w:color="auto" w:fill="F2F2F2" w:themeFill="background1" w:themeFillShade="F2"/>
          </w:tcPr>
          <w:p w:rsidR="001A0263" w:rsidRPr="0023087C" w:rsidRDefault="001A0263" w:rsidP="001A0263">
            <w:pPr>
              <w:spacing w:before="40" w:after="40"/>
              <w:rPr>
                <w:b/>
                <w:sz w:val="22"/>
                <w:szCs w:val="22"/>
                <w:lang w:val="ro-RO"/>
              </w:rPr>
            </w:pPr>
            <w:r w:rsidRPr="0023087C">
              <w:rPr>
                <w:b/>
                <w:sz w:val="22"/>
                <w:szCs w:val="22"/>
                <w:lang w:val="ro-RO"/>
              </w:rPr>
              <w:t>Condiția B1: Întărirea capacității de control legislative și supraveghere a bugetului</w:t>
            </w:r>
          </w:p>
        </w:tc>
      </w:tr>
      <w:tr w:rsidR="001A0263" w:rsidRPr="0023087C" w:rsidTr="001A0263">
        <w:tc>
          <w:tcPr>
            <w:tcW w:w="4796" w:type="dxa"/>
          </w:tcPr>
          <w:p w:rsidR="001A0263" w:rsidRPr="0023087C" w:rsidRDefault="001A0263" w:rsidP="001A0263">
            <w:pPr>
              <w:spacing w:before="40" w:after="40"/>
              <w:rPr>
                <w:sz w:val="22"/>
                <w:szCs w:val="22"/>
                <w:lang w:val="ro-RO"/>
              </w:rPr>
            </w:pPr>
            <w:r w:rsidRPr="0023087C">
              <w:rPr>
                <w:sz w:val="22"/>
                <w:szCs w:val="22"/>
                <w:lang w:val="ro-RO"/>
              </w:rPr>
              <w:t xml:space="preserve">B1.1 PCEBF dezvoltă un plan de acțiuni pentru lărgirea capacității suportului analitic furnizat de Secretariatul acestuia. </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 xml:space="preserve">B1.1 Secretariatul PCEBF personalul, capacitatea și bugetul potrivit este instituit pentru a fi apt de a începe să opereze din 1-ul trimestru al 2017. </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 xml:space="preserve">B1.1 Secretariatul PCEBF este operațional și oferă parlamentarilor o opinie tehnică corectă referitor la schița bugetului, la executarea bugetului și la rapoartele trimise de CdC. </w:t>
            </w:r>
          </w:p>
        </w:tc>
      </w:tr>
      <w:tr w:rsidR="001A0263" w:rsidRPr="0023087C" w:rsidTr="001A0263">
        <w:tc>
          <w:tcPr>
            <w:tcW w:w="4796"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lang w:val="ro-RO"/>
              </w:rPr>
            </w:pPr>
            <w:r w:rsidRPr="0023087C">
              <w:rPr>
                <w:sz w:val="22"/>
                <w:szCs w:val="22"/>
                <w:lang w:val="ro-RO"/>
              </w:rPr>
              <w:t>Site-ul și publicațiile oficiale ale Parlamentului.</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lang w:val="ro-RO"/>
              </w:rPr>
            </w:pPr>
            <w:r w:rsidRPr="0023087C">
              <w:rPr>
                <w:sz w:val="22"/>
                <w:szCs w:val="22"/>
                <w:lang w:val="ro-RO"/>
              </w:rPr>
              <w:t>2017 Budget Law.</w:t>
            </w:r>
          </w:p>
          <w:p w:rsidR="001A0263" w:rsidRPr="0023087C" w:rsidRDefault="001A0263" w:rsidP="001A0263">
            <w:pPr>
              <w:spacing w:before="40" w:after="40"/>
              <w:rPr>
                <w:sz w:val="22"/>
                <w:szCs w:val="22"/>
                <w:lang w:val="ro-RO"/>
              </w:rPr>
            </w:pPr>
            <w:r w:rsidRPr="0023087C">
              <w:rPr>
                <w:sz w:val="22"/>
                <w:szCs w:val="22"/>
                <w:lang w:val="ro-RO"/>
              </w:rPr>
              <w:t>Site-ul și publicațiile oficiale ale Parlamentului.</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lang w:val="ro-RO"/>
              </w:rPr>
            </w:pPr>
            <w:r w:rsidRPr="0023087C">
              <w:rPr>
                <w:sz w:val="22"/>
                <w:szCs w:val="22"/>
                <w:lang w:val="ro-RO"/>
              </w:rPr>
              <w:t>Disponibilitatea informației bugetare și a audiențelor CdC.</w:t>
            </w:r>
          </w:p>
          <w:p w:rsidR="001A0263" w:rsidRPr="0023087C" w:rsidRDefault="001A0263" w:rsidP="001A0263">
            <w:pPr>
              <w:spacing w:before="40" w:after="40"/>
              <w:rPr>
                <w:sz w:val="22"/>
                <w:szCs w:val="22"/>
                <w:lang w:val="ro-RO"/>
              </w:rPr>
            </w:pPr>
            <w:r w:rsidRPr="0023087C">
              <w:rPr>
                <w:sz w:val="22"/>
                <w:szCs w:val="22"/>
                <w:lang w:val="ro-RO"/>
              </w:rPr>
              <w:t>Site-ul și publicațiile oficiale ale Parlamentului.</w:t>
            </w:r>
          </w:p>
        </w:tc>
      </w:tr>
      <w:tr w:rsidR="001A0263" w:rsidRPr="0023087C" w:rsidTr="001A0263">
        <w:tc>
          <w:tcPr>
            <w:tcW w:w="14390" w:type="dxa"/>
            <w:gridSpan w:val="3"/>
            <w:shd w:val="clear" w:color="auto" w:fill="F2F2F2" w:themeFill="background1" w:themeFillShade="F2"/>
          </w:tcPr>
          <w:p w:rsidR="001A0263" w:rsidRPr="0023087C" w:rsidRDefault="001A0263" w:rsidP="001A0263">
            <w:pPr>
              <w:spacing w:before="40" w:after="40"/>
              <w:rPr>
                <w:b/>
                <w:sz w:val="22"/>
                <w:szCs w:val="22"/>
                <w:lang w:val="ro-RO"/>
              </w:rPr>
            </w:pPr>
            <w:r w:rsidRPr="0023087C">
              <w:rPr>
                <w:b/>
                <w:sz w:val="22"/>
                <w:szCs w:val="22"/>
                <w:lang w:val="ro-RO"/>
              </w:rPr>
              <w:t>Condiția B2: Îmbunătățirea transparenței în măsurile anticorupție în activitatea legislativă</w:t>
            </w:r>
          </w:p>
        </w:tc>
      </w:tr>
      <w:tr w:rsidR="001A0263" w:rsidRPr="0023087C" w:rsidTr="001A0263">
        <w:tc>
          <w:tcPr>
            <w:tcW w:w="4796" w:type="dxa"/>
          </w:tcPr>
          <w:p w:rsidR="001A0263" w:rsidRPr="0023087C" w:rsidRDefault="001A0263" w:rsidP="001A0263">
            <w:pPr>
              <w:spacing w:before="40" w:after="40"/>
              <w:rPr>
                <w:sz w:val="22"/>
                <w:szCs w:val="22"/>
                <w:lang w:val="ro-RO"/>
              </w:rPr>
            </w:pPr>
            <w:r w:rsidRPr="0023087C">
              <w:rPr>
                <w:sz w:val="22"/>
                <w:szCs w:val="22"/>
                <w:lang w:val="ro-RO"/>
              </w:rPr>
              <w:t>B2.1 Parlamentul înființează un forum anti-corupție ce va aduce împreună părțile interesate și societatea civilă pentru a discuta măsurile de atenuare a riscului de corupție și inițiativele legislative.</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B2.1 Întîlniri trimestriale ale forumului au loc iar rezultatele principale ale acestora sunt făcute disponibile publicului în fiecare trimestru.</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B2.1 Întîlniri trimestriale ale forumului au loc iar rezultatele principale ale acestora sunt făcute disponibile publicului în fiecare trimestru.</w:t>
            </w:r>
          </w:p>
        </w:tc>
      </w:tr>
      <w:tr w:rsidR="001A0263" w:rsidRPr="0023087C" w:rsidTr="001A0263">
        <w:tc>
          <w:tcPr>
            <w:tcW w:w="4796" w:type="dxa"/>
          </w:tcPr>
          <w:p w:rsidR="001A0263" w:rsidRPr="0023087C" w:rsidRDefault="001A0263" w:rsidP="001A0263">
            <w:pPr>
              <w:spacing w:before="40" w:after="40"/>
              <w:rPr>
                <w:sz w:val="22"/>
                <w:szCs w:val="22"/>
                <w:lang w:val="ro-RO"/>
              </w:rPr>
            </w:pPr>
            <w:r w:rsidRPr="0023087C">
              <w:rPr>
                <w:sz w:val="22"/>
                <w:szCs w:val="22"/>
                <w:lang w:val="ro-RO"/>
              </w:rPr>
              <w:t>Site-ul și publicațiile oficiale ale Parlamentului.</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Site-ul și publicațiile oficiale ale Parlamentului.</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Site-ul și publicațiile oficiale ale Parlamentului.</w:t>
            </w:r>
          </w:p>
        </w:tc>
      </w:tr>
      <w:tr w:rsidR="001A0263" w:rsidRPr="0023087C" w:rsidTr="001A0263">
        <w:tc>
          <w:tcPr>
            <w:tcW w:w="14390" w:type="dxa"/>
            <w:gridSpan w:val="3"/>
            <w:shd w:val="clear" w:color="auto" w:fill="D9D9D9" w:themeFill="background1" w:themeFillShade="D9"/>
          </w:tcPr>
          <w:p w:rsidR="001A0263" w:rsidRPr="0023087C" w:rsidRDefault="001A0263" w:rsidP="001A0263">
            <w:pPr>
              <w:pStyle w:val="afc"/>
              <w:numPr>
                <w:ilvl w:val="0"/>
                <w:numId w:val="6"/>
              </w:numPr>
              <w:spacing w:before="40" w:after="40"/>
              <w:contextualSpacing w:val="0"/>
              <w:jc w:val="center"/>
              <w:rPr>
                <w:b/>
              </w:rPr>
            </w:pPr>
            <w:r w:rsidRPr="0023087C">
              <w:rPr>
                <w:b/>
              </w:rPr>
              <w:lastRenderedPageBreak/>
              <w:t>Curtea de Conturi (CdC) a Republicii Moldova (Instituția Supremă de Audit)</w:t>
            </w:r>
          </w:p>
        </w:tc>
      </w:tr>
      <w:tr w:rsidR="001A0263" w:rsidRPr="0023087C" w:rsidTr="001A0263">
        <w:tc>
          <w:tcPr>
            <w:tcW w:w="14390" w:type="dxa"/>
            <w:gridSpan w:val="3"/>
            <w:shd w:val="clear" w:color="auto" w:fill="F2F2F2" w:themeFill="background1" w:themeFillShade="F2"/>
          </w:tcPr>
          <w:p w:rsidR="001A0263" w:rsidRPr="0023087C" w:rsidRDefault="001A0263" w:rsidP="001A0263">
            <w:pPr>
              <w:spacing w:before="40" w:after="40"/>
              <w:rPr>
                <w:b/>
                <w:sz w:val="22"/>
                <w:szCs w:val="22"/>
                <w:lang w:val="ro-RO"/>
              </w:rPr>
            </w:pPr>
            <w:r w:rsidRPr="0023087C">
              <w:rPr>
                <w:b/>
                <w:sz w:val="22"/>
                <w:szCs w:val="22"/>
                <w:lang w:val="ro-RO"/>
              </w:rPr>
              <w:t>Condiția C1: Îmbunătățirea efectivității auditului extern</w:t>
            </w:r>
          </w:p>
        </w:tc>
      </w:tr>
      <w:tr w:rsidR="001A0263" w:rsidRPr="0023087C" w:rsidTr="001A0263">
        <w:tc>
          <w:tcPr>
            <w:tcW w:w="4796" w:type="dxa"/>
          </w:tcPr>
          <w:p w:rsidR="001A0263" w:rsidRPr="0023087C" w:rsidRDefault="001A0263" w:rsidP="001A0263">
            <w:pPr>
              <w:spacing w:before="40" w:after="40"/>
              <w:rPr>
                <w:sz w:val="22"/>
                <w:szCs w:val="22"/>
                <w:lang w:val="ro-RO"/>
              </w:rPr>
            </w:pPr>
            <w:r w:rsidRPr="0023087C">
              <w:rPr>
                <w:sz w:val="22"/>
                <w:szCs w:val="22"/>
                <w:lang w:val="ro-RO"/>
              </w:rPr>
              <w:t>C1.1 CdC pregătește și publică o analiză a conformării la principiile ISSAI a standardelor de audit și procedurile ce le urmează pe acestea.</w:t>
            </w:r>
          </w:p>
          <w:p w:rsidR="001A0263" w:rsidRPr="0023087C" w:rsidRDefault="001A0263" w:rsidP="001A0263">
            <w:pPr>
              <w:spacing w:before="40" w:after="40"/>
              <w:rPr>
                <w:sz w:val="22"/>
                <w:szCs w:val="22"/>
                <w:lang w:val="ro-RO"/>
              </w:rPr>
            </w:pPr>
          </w:p>
        </w:tc>
        <w:tc>
          <w:tcPr>
            <w:tcW w:w="4797" w:type="dxa"/>
          </w:tcPr>
          <w:p w:rsidR="001A0263" w:rsidRPr="0023087C" w:rsidRDefault="001A0263" w:rsidP="001A0263">
            <w:pPr>
              <w:spacing w:before="40" w:after="40"/>
              <w:rPr>
                <w:sz w:val="22"/>
                <w:szCs w:val="22"/>
                <w:lang w:val="ro-RO"/>
              </w:rPr>
            </w:pPr>
            <w:r w:rsidRPr="0023087C">
              <w:rPr>
                <w:sz w:val="22"/>
                <w:szCs w:val="22"/>
                <w:lang w:val="ro-RO"/>
              </w:rPr>
              <w:t>C1.1 CdC pregătește și  publică o schiță a structurii regulatoare pentru a îmbunătăți conformarea la principiile ISSAI și îmbunătățirea procedurilor ce le urmează pe acestea. CdC oferă consultații în Guvern și Parlament.</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C1.1 CdC împreună cu Parlamentul inițiază procesele legislative necesare pentru (i) alinierea standardelor de audit cu principiile ISSSAI și (ii) pentru a îmbunătăți procedurile ce le urmează pe acesea.</w:t>
            </w:r>
          </w:p>
        </w:tc>
      </w:tr>
      <w:tr w:rsidR="001A0263" w:rsidRPr="0023087C" w:rsidTr="001A0263">
        <w:tc>
          <w:tcPr>
            <w:tcW w:w="4796"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lang w:val="ro-RO"/>
              </w:rPr>
            </w:pPr>
            <w:r w:rsidRPr="0023087C">
              <w:rPr>
                <w:sz w:val="22"/>
                <w:szCs w:val="22"/>
                <w:lang w:val="ro-RO"/>
              </w:rPr>
              <w:t>Site-ul CdC.</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lang w:val="ro-RO"/>
              </w:rPr>
            </w:pPr>
            <w:r w:rsidRPr="0023087C">
              <w:rPr>
                <w:sz w:val="22"/>
                <w:szCs w:val="22"/>
                <w:lang w:val="ro-RO"/>
              </w:rPr>
              <w:t>Site-le Parlamentului și CdC.</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lang w:val="ro-RO"/>
              </w:rPr>
            </w:pPr>
            <w:r w:rsidRPr="0023087C">
              <w:rPr>
                <w:sz w:val="22"/>
                <w:szCs w:val="22"/>
                <w:lang w:val="ro-RO"/>
              </w:rPr>
              <w:t>Site-le Parlamentului și CdC.</w:t>
            </w:r>
          </w:p>
        </w:tc>
      </w:tr>
      <w:tr w:rsidR="001A0263" w:rsidRPr="0023087C" w:rsidTr="001A0263">
        <w:tc>
          <w:tcPr>
            <w:tcW w:w="14390" w:type="dxa"/>
            <w:gridSpan w:val="3"/>
            <w:shd w:val="clear" w:color="auto" w:fill="F2F2F2" w:themeFill="background1" w:themeFillShade="F2"/>
          </w:tcPr>
          <w:p w:rsidR="001A0263" w:rsidRPr="0023087C" w:rsidRDefault="001A0263" w:rsidP="001A0263">
            <w:pPr>
              <w:spacing w:before="40" w:after="40"/>
              <w:rPr>
                <w:b/>
                <w:sz w:val="22"/>
                <w:szCs w:val="22"/>
                <w:lang w:val="ro-RO"/>
              </w:rPr>
            </w:pPr>
            <w:r w:rsidRPr="0023087C">
              <w:rPr>
                <w:b/>
                <w:sz w:val="22"/>
                <w:szCs w:val="22"/>
                <w:lang w:val="ro-RO"/>
              </w:rPr>
              <w:t>Condiția C2: Îmbunătățirea transparenței auditului extern și a managementului rezultatelor</w:t>
            </w:r>
          </w:p>
        </w:tc>
      </w:tr>
      <w:tr w:rsidR="001A0263" w:rsidRPr="0023087C" w:rsidTr="001A0263">
        <w:tc>
          <w:tcPr>
            <w:tcW w:w="4796" w:type="dxa"/>
          </w:tcPr>
          <w:p w:rsidR="001A0263" w:rsidRPr="0023087C" w:rsidRDefault="001A0263" w:rsidP="001A0263">
            <w:pPr>
              <w:spacing w:before="40" w:after="40"/>
              <w:rPr>
                <w:sz w:val="22"/>
                <w:szCs w:val="22"/>
                <w:lang w:val="ro-RO"/>
              </w:rPr>
            </w:pPr>
            <w:r w:rsidRPr="0023087C">
              <w:rPr>
                <w:sz w:val="22"/>
                <w:szCs w:val="22"/>
                <w:lang w:val="ro-RO"/>
              </w:rPr>
              <w:t xml:space="preserve">C2.1 CdC pregătește un plan de acțiuni cu scopul de a îmbunătăți performanța auditului și a comunicării relevante Parlamentului, Guvernului și societății civile.  </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C2.1 CdC execută audit al performanței a unui număr mărit (de la 10 la 12) de autorități publice în comparație cu numărul celor supuse auditului în 2015. CdC comunică rapoartele societății civile.</w:t>
            </w:r>
          </w:p>
        </w:tc>
        <w:tc>
          <w:tcPr>
            <w:tcW w:w="4797" w:type="dxa"/>
          </w:tcPr>
          <w:p w:rsidR="001A0263" w:rsidRPr="0023087C" w:rsidRDefault="001A0263" w:rsidP="001A0263">
            <w:pPr>
              <w:spacing w:before="40" w:after="40"/>
              <w:rPr>
                <w:sz w:val="22"/>
                <w:szCs w:val="22"/>
                <w:lang w:val="ro-RO"/>
              </w:rPr>
            </w:pPr>
            <w:r w:rsidRPr="0023087C">
              <w:rPr>
                <w:sz w:val="22"/>
                <w:szCs w:val="22"/>
                <w:lang w:val="ro-RO"/>
              </w:rPr>
              <w:t>C2.1 CdC execută audit al performanței a unui număr mărit (de la 12 la 15) de autorități publice în comparație cu numărul celor supuse auditului în 2016. CdC comunică rapoartele societății civile.</w:t>
            </w:r>
          </w:p>
        </w:tc>
      </w:tr>
      <w:tr w:rsidR="001A0263" w:rsidRPr="0023087C" w:rsidTr="001A0263">
        <w:tc>
          <w:tcPr>
            <w:tcW w:w="4796"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lang w:val="ro-RO"/>
              </w:rPr>
            </w:pPr>
            <w:r w:rsidRPr="0023087C">
              <w:rPr>
                <w:sz w:val="22"/>
                <w:szCs w:val="22"/>
                <w:lang w:val="ro-RO"/>
              </w:rPr>
              <w:t>Site-ul CdC.</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lang w:val="ro-RO"/>
              </w:rPr>
            </w:pPr>
            <w:r w:rsidRPr="0023087C">
              <w:rPr>
                <w:sz w:val="22"/>
                <w:szCs w:val="22"/>
                <w:lang w:val="ro-RO"/>
              </w:rPr>
              <w:t>Site-ul CdC.</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lang w:val="ro-RO"/>
              </w:rPr>
            </w:pPr>
            <w:r w:rsidRPr="0023087C">
              <w:rPr>
                <w:sz w:val="22"/>
                <w:szCs w:val="22"/>
                <w:lang w:val="ro-RO"/>
              </w:rPr>
              <w:t>Site-ul CdC.</w:t>
            </w:r>
          </w:p>
        </w:tc>
      </w:tr>
      <w:tr w:rsidR="001A0263" w:rsidRPr="0023087C" w:rsidTr="001A0263">
        <w:tc>
          <w:tcPr>
            <w:tcW w:w="14390" w:type="dxa"/>
            <w:gridSpan w:val="3"/>
            <w:shd w:val="clear" w:color="auto" w:fill="F2F2F2" w:themeFill="background1" w:themeFillShade="F2"/>
          </w:tcPr>
          <w:p w:rsidR="001A0263" w:rsidRPr="0023087C" w:rsidRDefault="001A0263" w:rsidP="001A0263">
            <w:pPr>
              <w:spacing w:before="40" w:after="40"/>
              <w:rPr>
                <w:b/>
                <w:sz w:val="22"/>
                <w:szCs w:val="22"/>
                <w:u w:val="single"/>
                <w:lang w:val="ro-RO"/>
              </w:rPr>
            </w:pPr>
            <w:r w:rsidRPr="0023087C">
              <w:rPr>
                <w:b/>
                <w:sz w:val="22"/>
                <w:szCs w:val="22"/>
                <w:lang w:val="ro-RO"/>
              </w:rPr>
              <w:t>Condiția C3: Mărirea transparenței în activitățile anti-corupție ale CdC</w:t>
            </w:r>
          </w:p>
        </w:tc>
      </w:tr>
      <w:tr w:rsidR="001A0263" w:rsidRPr="0023087C" w:rsidTr="001A0263">
        <w:tc>
          <w:tcPr>
            <w:tcW w:w="4796" w:type="dxa"/>
          </w:tcPr>
          <w:p w:rsidR="001A0263" w:rsidRPr="0023087C" w:rsidRDefault="001A0263" w:rsidP="001A0263">
            <w:pPr>
              <w:spacing w:before="40" w:after="40"/>
              <w:rPr>
                <w:sz w:val="22"/>
                <w:szCs w:val="22"/>
                <w:lang w:val="ro-RO"/>
              </w:rPr>
            </w:pPr>
            <w:r w:rsidRPr="0023087C">
              <w:rPr>
                <w:sz w:val="22"/>
                <w:szCs w:val="22"/>
                <w:lang w:val="ro-RO"/>
              </w:rPr>
              <w:t>C3.1 CdC dezvoltă și publică direcțiile referitoare la rolul SAI în cazurile de fraudă și corupție.</w:t>
            </w:r>
          </w:p>
          <w:p w:rsidR="001A0263" w:rsidRPr="0023087C" w:rsidRDefault="001A0263" w:rsidP="001A0263">
            <w:pPr>
              <w:spacing w:before="40" w:after="40"/>
              <w:rPr>
                <w:sz w:val="22"/>
                <w:szCs w:val="22"/>
                <w:lang w:val="ro-RO"/>
              </w:rPr>
            </w:pPr>
          </w:p>
        </w:tc>
        <w:tc>
          <w:tcPr>
            <w:tcW w:w="4797" w:type="dxa"/>
          </w:tcPr>
          <w:p w:rsidR="001A0263" w:rsidRPr="0023087C" w:rsidRDefault="001A0263" w:rsidP="001A0263">
            <w:pPr>
              <w:spacing w:before="40" w:after="40"/>
              <w:rPr>
                <w:sz w:val="22"/>
                <w:szCs w:val="22"/>
                <w:lang w:val="ro-RO"/>
              </w:rPr>
            </w:pPr>
            <w:r w:rsidRPr="0023087C">
              <w:rPr>
                <w:sz w:val="22"/>
                <w:szCs w:val="22"/>
                <w:lang w:val="ro-RO"/>
              </w:rPr>
              <w:t xml:space="preserve">C3.1 CdC dezvoltă, publică și face accesibilă societății civile un raport ce conține: </w:t>
            </w:r>
          </w:p>
          <w:p w:rsidR="001A0263" w:rsidRPr="0023087C" w:rsidRDefault="001A0263" w:rsidP="001A0263">
            <w:pPr>
              <w:pStyle w:val="afc"/>
              <w:numPr>
                <w:ilvl w:val="0"/>
                <w:numId w:val="13"/>
              </w:numPr>
              <w:spacing w:before="40" w:after="40"/>
              <w:ind w:left="216" w:hanging="216"/>
              <w:contextualSpacing w:val="0"/>
            </w:pPr>
            <w:r w:rsidRPr="0023087C">
              <w:t xml:space="preserve">Toate cazurile suspectate de fraudă identificate de CdC; </w:t>
            </w:r>
          </w:p>
          <w:p w:rsidR="001A0263" w:rsidRPr="0023087C" w:rsidRDefault="001A0263" w:rsidP="001A0263">
            <w:pPr>
              <w:pStyle w:val="afc"/>
              <w:numPr>
                <w:ilvl w:val="0"/>
                <w:numId w:val="13"/>
              </w:numPr>
              <w:spacing w:before="40" w:after="40"/>
              <w:ind w:left="216" w:hanging="216"/>
              <w:contextualSpacing w:val="0"/>
            </w:pPr>
            <w:r w:rsidRPr="0023087C">
              <w:t xml:space="preserve">Potențialele conflicte de interes detectate de CdC între entitățile de audit. </w:t>
            </w:r>
          </w:p>
          <w:p w:rsidR="001A0263" w:rsidRPr="0023087C" w:rsidRDefault="001A0263" w:rsidP="001A0263">
            <w:pPr>
              <w:pStyle w:val="afc"/>
              <w:spacing w:before="40" w:after="40"/>
              <w:ind w:left="216"/>
              <w:contextualSpacing w:val="0"/>
            </w:pPr>
          </w:p>
        </w:tc>
        <w:tc>
          <w:tcPr>
            <w:tcW w:w="4797" w:type="dxa"/>
          </w:tcPr>
          <w:p w:rsidR="001A0263" w:rsidRPr="0023087C" w:rsidRDefault="001A0263" w:rsidP="001A0263">
            <w:pPr>
              <w:spacing w:before="40" w:after="40"/>
              <w:rPr>
                <w:sz w:val="22"/>
                <w:szCs w:val="22"/>
                <w:lang w:val="ro-RO"/>
              </w:rPr>
            </w:pPr>
            <w:r w:rsidRPr="0023087C">
              <w:rPr>
                <w:sz w:val="22"/>
                <w:szCs w:val="22"/>
                <w:lang w:val="ro-RO"/>
              </w:rPr>
              <w:t xml:space="preserve">C3.1 CdC dezvoltă, publică și face accesibilă societății civile un raport centrat pe deciziile și măsurile luate de autoritățile de aplicare a legii (Procuratura Anticorupție, Procuratura Generală, Centrul Național Anti-Corupție și Ministerul Afacerilor Interne.) ca rezultat a conflictelor de interes și a cazurile suspectate de fraudă identificate de CdC și aduse la </w:t>
            </w:r>
            <w:r w:rsidRPr="0023087C">
              <w:rPr>
                <w:sz w:val="22"/>
                <w:szCs w:val="22"/>
                <w:lang w:val="ro-RO"/>
              </w:rPr>
              <w:lastRenderedPageBreak/>
              <w:t>cunoștința autorităților menționate.</w:t>
            </w:r>
          </w:p>
        </w:tc>
      </w:tr>
      <w:tr w:rsidR="001A0263" w:rsidRPr="0023087C" w:rsidTr="001A0263">
        <w:tc>
          <w:tcPr>
            <w:tcW w:w="4796" w:type="dxa"/>
          </w:tcPr>
          <w:p w:rsidR="001A0263" w:rsidRPr="0023087C" w:rsidRDefault="001A0263" w:rsidP="001A0263">
            <w:pPr>
              <w:spacing w:before="40" w:after="40"/>
              <w:rPr>
                <w:sz w:val="22"/>
                <w:szCs w:val="22"/>
                <w:u w:val="single"/>
                <w:lang w:val="ro-RO"/>
              </w:rPr>
            </w:pPr>
            <w:r w:rsidRPr="0023087C">
              <w:rPr>
                <w:sz w:val="22"/>
                <w:szCs w:val="22"/>
                <w:u w:val="single"/>
                <w:lang w:val="ro-RO"/>
              </w:rPr>
              <w:lastRenderedPageBreak/>
              <w:t>Sursă de verificare:</w:t>
            </w:r>
          </w:p>
          <w:p w:rsidR="001A0263" w:rsidRPr="0023087C" w:rsidRDefault="001A0263" w:rsidP="001A0263">
            <w:pPr>
              <w:spacing w:before="40" w:after="40"/>
              <w:rPr>
                <w:sz w:val="22"/>
                <w:szCs w:val="22"/>
                <w:lang w:val="ro-RO"/>
              </w:rPr>
            </w:pPr>
            <w:r w:rsidRPr="0023087C">
              <w:rPr>
                <w:sz w:val="22"/>
                <w:szCs w:val="22"/>
                <w:lang w:val="ro-RO"/>
              </w:rPr>
              <w:t>Site-ul CdC.</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lang w:val="ro-RO"/>
              </w:rPr>
            </w:pPr>
            <w:r w:rsidRPr="0023087C">
              <w:rPr>
                <w:sz w:val="22"/>
                <w:szCs w:val="22"/>
                <w:lang w:val="ro-RO"/>
              </w:rPr>
              <w:t>Site-ul CdC.</w:t>
            </w:r>
          </w:p>
        </w:tc>
        <w:tc>
          <w:tcPr>
            <w:tcW w:w="4797" w:type="dxa"/>
          </w:tcPr>
          <w:p w:rsidR="001A0263" w:rsidRPr="0023087C" w:rsidRDefault="001A0263" w:rsidP="001A0263">
            <w:pPr>
              <w:spacing w:before="40" w:after="40"/>
              <w:rPr>
                <w:sz w:val="22"/>
                <w:szCs w:val="22"/>
                <w:u w:val="single"/>
                <w:lang w:val="ro-RO"/>
              </w:rPr>
            </w:pPr>
            <w:r w:rsidRPr="0023087C">
              <w:rPr>
                <w:sz w:val="22"/>
                <w:szCs w:val="22"/>
                <w:u w:val="single"/>
                <w:lang w:val="ro-RO"/>
              </w:rPr>
              <w:t>Sursă de verificare:</w:t>
            </w:r>
          </w:p>
          <w:p w:rsidR="001A0263" w:rsidRPr="0023087C" w:rsidRDefault="001A0263" w:rsidP="001A0263">
            <w:pPr>
              <w:spacing w:before="40" w:after="40"/>
              <w:rPr>
                <w:sz w:val="22"/>
                <w:szCs w:val="22"/>
                <w:lang w:val="ro-RO"/>
              </w:rPr>
            </w:pPr>
            <w:r w:rsidRPr="0023087C">
              <w:rPr>
                <w:sz w:val="22"/>
                <w:szCs w:val="22"/>
                <w:lang w:val="ro-RO"/>
              </w:rPr>
              <w:t>Site-ul CdC.</w:t>
            </w:r>
          </w:p>
        </w:tc>
      </w:tr>
    </w:tbl>
    <w:p w:rsidR="001A0263" w:rsidRPr="0023087C" w:rsidRDefault="001A0263" w:rsidP="001A0263">
      <w:pPr>
        <w:jc w:val="both"/>
        <w:rPr>
          <w:b/>
          <w:lang w:val="ro-RO"/>
        </w:rPr>
      </w:pPr>
    </w:p>
    <w:p w:rsidR="001A0263" w:rsidRPr="0023087C" w:rsidRDefault="001A0263" w:rsidP="001A0263">
      <w:pPr>
        <w:spacing w:before="120" w:after="120"/>
        <w:rPr>
          <w:b/>
          <w:lang w:val="ro-RO"/>
        </w:rPr>
      </w:pPr>
      <w:r w:rsidRPr="0023087C">
        <w:rPr>
          <w:b/>
          <w:lang w:val="ro-RO"/>
        </w:rPr>
        <w:br w:type="page"/>
      </w:r>
    </w:p>
    <w:p w:rsidR="001A0263" w:rsidRPr="0023087C" w:rsidRDefault="001A0263" w:rsidP="001A0263">
      <w:pPr>
        <w:pStyle w:val="afc"/>
        <w:numPr>
          <w:ilvl w:val="0"/>
          <w:numId w:val="8"/>
        </w:numPr>
        <w:tabs>
          <w:tab w:val="left" w:pos="511"/>
        </w:tabs>
        <w:spacing w:before="120" w:after="120" w:line="276" w:lineRule="auto"/>
        <w:ind w:left="360"/>
        <w:contextualSpacing w:val="0"/>
        <w:jc w:val="both"/>
        <w:rPr>
          <w:b/>
          <w:sz w:val="24"/>
          <w:szCs w:val="24"/>
        </w:rPr>
      </w:pPr>
      <w:r w:rsidRPr="0023087C">
        <w:rPr>
          <w:b/>
          <w:sz w:val="24"/>
          <w:szCs w:val="24"/>
        </w:rPr>
        <w:lastRenderedPageBreak/>
        <w:t>Modalități de evaluare a performanței în cazul Tranșelor Variabile</w:t>
      </w:r>
    </w:p>
    <w:p w:rsidR="001A0263" w:rsidRPr="0023087C" w:rsidRDefault="001A0263" w:rsidP="001A0263">
      <w:pPr>
        <w:spacing w:before="120"/>
        <w:jc w:val="both"/>
        <w:rPr>
          <w:lang w:val="ro-RO"/>
        </w:rPr>
      </w:pPr>
      <w:r w:rsidRPr="0023087C">
        <w:rPr>
          <w:lang w:val="ro-RO"/>
        </w:rPr>
        <w:t xml:space="preserve">Programul prevede plata a patru tranșe anuale. Tranșa Fixă poate fi plătită la îndeplinirea Condițiilor Generale (ce sunt descrise în secția de mai sus). Odată cu îndeplinirea Condițiilor Generale a fost evaluată pozitiv de Comisia Europeană, Tranșele Variabile vor fi evaluate și plătite în concordanță cu nivelul de îndeplinire a fiecărei Condiții Specifice. </w:t>
      </w:r>
    </w:p>
    <w:p w:rsidR="001A0263" w:rsidRPr="0023087C" w:rsidRDefault="001A0263" w:rsidP="001A0263">
      <w:pPr>
        <w:spacing w:before="120"/>
        <w:jc w:val="both"/>
        <w:rPr>
          <w:lang w:val="ro-RO"/>
        </w:rPr>
      </w:pPr>
      <w:r w:rsidRPr="0023087C">
        <w:rPr>
          <w:lang w:val="ro-RO"/>
        </w:rPr>
        <w:t>Sunt trei nivele posibile de îndeplinire ale Condițiilor Specifice:</w:t>
      </w:r>
    </w:p>
    <w:p w:rsidR="001A0263" w:rsidRPr="0023087C" w:rsidRDefault="001A0263" w:rsidP="001A0263">
      <w:pPr>
        <w:numPr>
          <w:ilvl w:val="0"/>
          <w:numId w:val="14"/>
        </w:numPr>
        <w:spacing w:before="120"/>
        <w:jc w:val="both"/>
        <w:rPr>
          <w:lang w:val="ro-RO"/>
        </w:rPr>
      </w:pPr>
      <w:r w:rsidRPr="0023087C">
        <w:rPr>
          <w:lang w:val="ro-RO"/>
        </w:rPr>
        <w:t>Conformarea deplină, ce va rezulta într-o decizie de debursare din partea Comisiei Europene cu valoarea întregii cote corespunzătoare;</w:t>
      </w:r>
    </w:p>
    <w:p w:rsidR="001A0263" w:rsidRPr="0023087C" w:rsidRDefault="001A0263" w:rsidP="001A0263">
      <w:pPr>
        <w:numPr>
          <w:ilvl w:val="0"/>
          <w:numId w:val="14"/>
        </w:numPr>
        <w:spacing w:before="120"/>
        <w:jc w:val="both"/>
        <w:rPr>
          <w:lang w:val="ro-RO"/>
        </w:rPr>
      </w:pPr>
      <w:r w:rsidRPr="0023087C">
        <w:rPr>
          <w:lang w:val="ro-RO"/>
        </w:rPr>
        <w:t>Conformarea parțială dar semnificativă, ce va rezulta într-o decizie de debursare din partea Comisiei Europene cu valoarea a jumate din cote corespunzătoare;</w:t>
      </w:r>
    </w:p>
    <w:p w:rsidR="001A0263" w:rsidRPr="0023087C" w:rsidRDefault="001A0263" w:rsidP="001A0263">
      <w:pPr>
        <w:numPr>
          <w:ilvl w:val="0"/>
          <w:numId w:val="14"/>
        </w:numPr>
        <w:spacing w:before="120"/>
        <w:jc w:val="both"/>
        <w:rPr>
          <w:lang w:val="ro-RO"/>
        </w:rPr>
      </w:pPr>
      <w:r w:rsidRPr="0023087C">
        <w:rPr>
          <w:lang w:val="ro-RO"/>
        </w:rPr>
        <w:t>Non-conformarea sau conformarea insuficientă, ce va rezulta într-o decizie de ne-debursare din partea Comisiei Europene.</w:t>
      </w:r>
    </w:p>
    <w:p w:rsidR="001A0263" w:rsidRPr="0023087C" w:rsidRDefault="001A0263" w:rsidP="001A0263">
      <w:pPr>
        <w:spacing w:before="120"/>
        <w:jc w:val="both"/>
        <w:rPr>
          <w:lang w:val="ro-RO"/>
        </w:rPr>
      </w:pPr>
      <w:r w:rsidRPr="0023087C">
        <w:rPr>
          <w:lang w:val="ro-RO"/>
        </w:rPr>
        <w:t>În caz că mai mulți indicatori sunt grupați pentru una din condițiile specifice:</w:t>
      </w:r>
    </w:p>
    <w:p w:rsidR="001A0263" w:rsidRPr="0023087C" w:rsidRDefault="001A0263" w:rsidP="001A0263">
      <w:pPr>
        <w:numPr>
          <w:ilvl w:val="0"/>
          <w:numId w:val="15"/>
        </w:numPr>
        <w:spacing w:before="120"/>
        <w:jc w:val="both"/>
        <w:rPr>
          <w:lang w:val="ro-RO"/>
        </w:rPr>
      </w:pPr>
      <w:r w:rsidRPr="0023087C">
        <w:rPr>
          <w:lang w:val="ro-RO"/>
        </w:rPr>
        <w:t xml:space="preserve">Conformarea deplină corespunde îndeplinirii complete a tuturor indicatorilor pentru o asemenea condiție specifică; </w:t>
      </w:r>
    </w:p>
    <w:p w:rsidR="001A0263" w:rsidRPr="0023087C" w:rsidRDefault="001A0263" w:rsidP="001A0263">
      <w:pPr>
        <w:numPr>
          <w:ilvl w:val="0"/>
          <w:numId w:val="15"/>
        </w:numPr>
        <w:spacing w:before="120"/>
        <w:jc w:val="both"/>
        <w:rPr>
          <w:lang w:val="ro-RO"/>
        </w:rPr>
      </w:pPr>
      <w:r w:rsidRPr="0023087C">
        <w:rPr>
          <w:lang w:val="ro-RO"/>
        </w:rPr>
        <w:t>Conformarea parțială dar semnificativă corespunde îndeplinirii complete a mai mult de jumătate dintre indicatorii unei asemenea condiții specifice;</w:t>
      </w:r>
    </w:p>
    <w:p w:rsidR="001A0263" w:rsidRPr="0023087C" w:rsidRDefault="001A0263" w:rsidP="001A0263">
      <w:pPr>
        <w:numPr>
          <w:ilvl w:val="0"/>
          <w:numId w:val="15"/>
        </w:numPr>
        <w:spacing w:before="120"/>
        <w:jc w:val="both"/>
        <w:rPr>
          <w:lang w:val="ro-RO"/>
        </w:rPr>
      </w:pPr>
      <w:r w:rsidRPr="0023087C">
        <w:rPr>
          <w:lang w:val="ro-RO"/>
        </w:rPr>
        <w:t>Non-conformarea sau conformarea insuficientă corespunde îndeplinirii complete jumătate sau mai puțini dintre indicatorii unei asemenea condiții specifice.</w:t>
      </w:r>
    </w:p>
    <w:p w:rsidR="001A0263" w:rsidRPr="0023087C" w:rsidRDefault="001A0263" w:rsidP="001A0263">
      <w:pPr>
        <w:spacing w:before="120"/>
        <w:jc w:val="both"/>
        <w:rPr>
          <w:lang w:val="ro-RO"/>
        </w:rPr>
      </w:pPr>
      <w:r w:rsidRPr="0023087C">
        <w:rPr>
          <w:lang w:val="ro-RO"/>
        </w:rPr>
        <w:t>În cazuri justificate corespunzător precedate de o cerere motivată corespunzător de autoritățile competente către Comisia Europeană, conformarea poate fi reevaluată în timpul revizuirii tranșei anuale imediat ulterioare, eventual permițînd plata sumei(lor) corespunzătoare neachitate. Fondurile reținute pentru lipsa de conformarea vor fi pierdute la sfîrșitul Programului.</w:t>
      </w:r>
    </w:p>
    <w:p w:rsidR="001A0263" w:rsidRPr="0023087C" w:rsidRDefault="001A0263" w:rsidP="001A0263">
      <w:pPr>
        <w:spacing w:before="120"/>
        <w:jc w:val="both"/>
        <w:rPr>
          <w:lang w:val="ro-RO"/>
        </w:rPr>
      </w:pPr>
      <w:r w:rsidRPr="0023087C">
        <w:rPr>
          <w:lang w:val="ro-RO"/>
        </w:rPr>
        <w:t>În orice caz, decizia finală în legătură cu nivelul de conformare pentru debursarea oricărui tip de tranșă este a Comisiei Europene.</w:t>
      </w:r>
    </w:p>
    <w:p w:rsidR="001A0263" w:rsidRDefault="001A0263" w:rsidP="0083787A">
      <w:pPr>
        <w:rPr>
          <w:b/>
          <w:lang w:val="ro-RO"/>
        </w:rPr>
      </w:pPr>
    </w:p>
    <w:p w:rsidR="0083787A" w:rsidRDefault="0083787A" w:rsidP="0083787A">
      <w:pPr>
        <w:rPr>
          <w:b/>
          <w:lang w:val="ro-RO"/>
        </w:rPr>
      </w:pPr>
    </w:p>
    <w:p w:rsidR="0083787A" w:rsidRDefault="0083787A" w:rsidP="0083787A">
      <w:pPr>
        <w:rPr>
          <w:b/>
          <w:lang w:val="ro-RO"/>
        </w:rPr>
      </w:pPr>
    </w:p>
    <w:p w:rsidR="0083787A" w:rsidRDefault="0083787A" w:rsidP="0083787A">
      <w:pPr>
        <w:rPr>
          <w:b/>
          <w:lang w:val="ro-RO"/>
        </w:rPr>
      </w:pPr>
    </w:p>
    <w:p w:rsidR="0083787A" w:rsidRDefault="0083787A" w:rsidP="0083787A">
      <w:pPr>
        <w:rPr>
          <w:b/>
          <w:lang w:val="ro-RO"/>
        </w:rPr>
      </w:pPr>
    </w:p>
    <w:p w:rsidR="0083787A" w:rsidRDefault="0083787A" w:rsidP="0083787A">
      <w:pPr>
        <w:rPr>
          <w:b/>
          <w:lang w:val="ro-RO"/>
        </w:rPr>
      </w:pPr>
    </w:p>
    <w:p w:rsidR="0083787A" w:rsidRDefault="0083787A" w:rsidP="0083787A">
      <w:pPr>
        <w:rPr>
          <w:b/>
          <w:lang w:val="ro-RO"/>
        </w:rPr>
      </w:pPr>
    </w:p>
    <w:p w:rsidR="0083787A" w:rsidRDefault="0083787A" w:rsidP="0083787A">
      <w:pPr>
        <w:rPr>
          <w:b/>
          <w:lang w:val="ro-RO"/>
        </w:rPr>
      </w:pPr>
    </w:p>
    <w:p w:rsidR="0083787A" w:rsidRDefault="0083787A" w:rsidP="0083787A">
      <w:pPr>
        <w:rPr>
          <w:b/>
          <w:lang w:val="ro-RO"/>
        </w:rPr>
      </w:pPr>
    </w:p>
    <w:p w:rsidR="0083787A" w:rsidRDefault="0083787A" w:rsidP="0083787A">
      <w:pPr>
        <w:rPr>
          <w:b/>
          <w:lang w:val="ro-RO"/>
        </w:rPr>
      </w:pPr>
    </w:p>
    <w:p w:rsidR="0083787A" w:rsidRDefault="0083787A" w:rsidP="0083787A">
      <w:pPr>
        <w:rPr>
          <w:b/>
          <w:lang w:val="ro-RO"/>
        </w:rPr>
      </w:pPr>
    </w:p>
    <w:p w:rsidR="0083787A" w:rsidRDefault="0083787A" w:rsidP="0083787A">
      <w:pPr>
        <w:rPr>
          <w:b/>
          <w:lang w:val="ro-RO"/>
        </w:rPr>
      </w:pPr>
    </w:p>
    <w:p w:rsidR="0083787A" w:rsidRDefault="0083787A" w:rsidP="0083787A">
      <w:pPr>
        <w:rPr>
          <w:b/>
          <w:lang w:val="ro-RO"/>
        </w:rPr>
      </w:pPr>
    </w:p>
    <w:p w:rsidR="0083787A" w:rsidRDefault="0083787A" w:rsidP="0083787A">
      <w:pPr>
        <w:spacing w:before="120" w:after="120"/>
        <w:jc w:val="center"/>
        <w:rPr>
          <w:b/>
          <w:lang w:val="ro-RO"/>
        </w:rPr>
      </w:pPr>
    </w:p>
    <w:p w:rsidR="0083787A" w:rsidRDefault="0083787A" w:rsidP="0083787A">
      <w:pPr>
        <w:spacing w:before="120" w:after="120"/>
        <w:jc w:val="center"/>
        <w:rPr>
          <w:b/>
          <w:lang w:val="ro-RO"/>
        </w:rPr>
      </w:pPr>
    </w:p>
    <w:p w:rsidR="0083787A" w:rsidRPr="0023087C" w:rsidRDefault="0083787A" w:rsidP="0083787A">
      <w:pPr>
        <w:spacing w:before="120" w:after="120"/>
        <w:jc w:val="center"/>
        <w:rPr>
          <w:b/>
          <w:lang w:val="ro-RO"/>
        </w:rPr>
      </w:pPr>
      <w:r w:rsidRPr="0023087C">
        <w:rPr>
          <w:b/>
          <w:lang w:val="ro-RO"/>
        </w:rPr>
        <w:lastRenderedPageBreak/>
        <w:t>Tabelul D: Ponderile Condițiilor Specifice în Tranșele Variabile</w:t>
      </w:r>
    </w:p>
    <w:tbl>
      <w:tblPr>
        <w:tblStyle w:val="af6"/>
        <w:tblW w:w="14778" w:type="dxa"/>
        <w:tblInd w:w="-342" w:type="dxa"/>
        <w:tblLayout w:type="fixed"/>
        <w:tblLook w:val="04A0" w:firstRow="1" w:lastRow="0" w:firstColumn="1" w:lastColumn="0" w:noHBand="0" w:noVBand="1"/>
      </w:tblPr>
      <w:tblGrid>
        <w:gridCol w:w="4410"/>
        <w:gridCol w:w="1152"/>
        <w:gridCol w:w="1152"/>
        <w:gridCol w:w="1152"/>
        <w:gridCol w:w="1152"/>
        <w:gridCol w:w="1152"/>
        <w:gridCol w:w="1152"/>
        <w:gridCol w:w="1152"/>
        <w:gridCol w:w="1152"/>
        <w:gridCol w:w="1152"/>
      </w:tblGrid>
      <w:tr w:rsidR="0083787A" w:rsidRPr="0023087C" w:rsidTr="00205359">
        <w:tc>
          <w:tcPr>
            <w:tcW w:w="4410" w:type="dxa"/>
            <w:vMerge w:val="restart"/>
            <w:shd w:val="clear" w:color="auto" w:fill="F2F2F2" w:themeFill="background1" w:themeFillShade="F2"/>
            <w:vAlign w:val="center"/>
          </w:tcPr>
          <w:p w:rsidR="0083787A" w:rsidRPr="0023087C" w:rsidRDefault="0083787A" w:rsidP="00205359">
            <w:pPr>
              <w:jc w:val="center"/>
              <w:rPr>
                <w:sz w:val="22"/>
                <w:szCs w:val="22"/>
                <w:lang w:val="ro-RO"/>
              </w:rPr>
            </w:pPr>
            <w:r w:rsidRPr="0023087C">
              <w:rPr>
                <w:b/>
                <w:sz w:val="22"/>
                <w:szCs w:val="22"/>
                <w:lang w:val="ro-RO"/>
              </w:rPr>
              <w:t>Procentajul și suma (presupunîn conformarea deplină și la timp)</w:t>
            </w:r>
          </w:p>
        </w:tc>
        <w:tc>
          <w:tcPr>
            <w:tcW w:w="2304" w:type="dxa"/>
            <w:gridSpan w:val="2"/>
            <w:shd w:val="clear" w:color="auto" w:fill="F2F2F2" w:themeFill="background1" w:themeFillShade="F2"/>
            <w:vAlign w:val="center"/>
          </w:tcPr>
          <w:p w:rsidR="0083787A" w:rsidRPr="0023087C" w:rsidRDefault="0083787A" w:rsidP="00205359">
            <w:pPr>
              <w:jc w:val="center"/>
              <w:rPr>
                <w:b/>
                <w:sz w:val="22"/>
                <w:szCs w:val="22"/>
                <w:lang w:val="ro-RO"/>
              </w:rPr>
            </w:pPr>
            <w:r w:rsidRPr="0023087C">
              <w:rPr>
                <w:b/>
                <w:sz w:val="22"/>
                <w:szCs w:val="22"/>
                <w:lang w:val="ro-RO"/>
              </w:rPr>
              <w:t>1-a Tranșă</w:t>
            </w:r>
          </w:p>
        </w:tc>
        <w:tc>
          <w:tcPr>
            <w:tcW w:w="2304" w:type="dxa"/>
            <w:gridSpan w:val="2"/>
            <w:shd w:val="clear" w:color="auto" w:fill="F2F2F2" w:themeFill="background1" w:themeFillShade="F2"/>
            <w:vAlign w:val="center"/>
          </w:tcPr>
          <w:p w:rsidR="0083787A" w:rsidRPr="0023087C" w:rsidRDefault="0083787A" w:rsidP="00205359">
            <w:pPr>
              <w:jc w:val="center"/>
              <w:rPr>
                <w:b/>
                <w:sz w:val="22"/>
                <w:szCs w:val="22"/>
                <w:lang w:val="ro-RO"/>
              </w:rPr>
            </w:pPr>
            <w:r w:rsidRPr="0023087C">
              <w:rPr>
                <w:b/>
                <w:sz w:val="22"/>
                <w:szCs w:val="22"/>
                <w:lang w:val="ro-RO"/>
              </w:rPr>
              <w:t>A 2-a Tranșă</w:t>
            </w:r>
          </w:p>
        </w:tc>
        <w:tc>
          <w:tcPr>
            <w:tcW w:w="2304" w:type="dxa"/>
            <w:gridSpan w:val="2"/>
            <w:shd w:val="clear" w:color="auto" w:fill="F2F2F2" w:themeFill="background1" w:themeFillShade="F2"/>
            <w:vAlign w:val="center"/>
          </w:tcPr>
          <w:p w:rsidR="0083787A" w:rsidRPr="0023087C" w:rsidRDefault="0083787A" w:rsidP="00205359">
            <w:pPr>
              <w:jc w:val="center"/>
              <w:rPr>
                <w:b/>
                <w:sz w:val="22"/>
                <w:szCs w:val="22"/>
                <w:lang w:val="ro-RO"/>
              </w:rPr>
            </w:pPr>
            <w:r w:rsidRPr="0023087C">
              <w:rPr>
                <w:b/>
                <w:sz w:val="22"/>
                <w:szCs w:val="22"/>
                <w:lang w:val="ro-RO"/>
              </w:rPr>
              <w:t>A 3-a Tranșă</w:t>
            </w:r>
          </w:p>
        </w:tc>
        <w:tc>
          <w:tcPr>
            <w:tcW w:w="2304" w:type="dxa"/>
            <w:gridSpan w:val="2"/>
            <w:shd w:val="clear" w:color="auto" w:fill="F2F2F2" w:themeFill="background1" w:themeFillShade="F2"/>
            <w:vAlign w:val="center"/>
          </w:tcPr>
          <w:p w:rsidR="0083787A" w:rsidRPr="0023087C" w:rsidRDefault="0083787A" w:rsidP="00205359">
            <w:pPr>
              <w:jc w:val="center"/>
              <w:rPr>
                <w:b/>
                <w:sz w:val="22"/>
                <w:szCs w:val="22"/>
                <w:lang w:val="ro-RO"/>
              </w:rPr>
            </w:pPr>
            <w:r w:rsidRPr="0023087C">
              <w:rPr>
                <w:b/>
                <w:sz w:val="22"/>
                <w:szCs w:val="22"/>
                <w:lang w:val="ro-RO"/>
              </w:rPr>
              <w:t>A 4-a Tranșă</w:t>
            </w:r>
          </w:p>
        </w:tc>
        <w:tc>
          <w:tcPr>
            <w:tcW w:w="1152" w:type="dxa"/>
            <w:vMerge w:val="restart"/>
            <w:shd w:val="clear" w:color="auto" w:fill="F2F2F2" w:themeFill="background1" w:themeFillShade="F2"/>
            <w:vAlign w:val="center"/>
          </w:tcPr>
          <w:p w:rsidR="0083787A" w:rsidRPr="0023087C" w:rsidRDefault="0083787A" w:rsidP="00205359">
            <w:pPr>
              <w:jc w:val="center"/>
              <w:rPr>
                <w:b/>
                <w:sz w:val="22"/>
                <w:szCs w:val="22"/>
                <w:lang w:val="ro-RO"/>
              </w:rPr>
            </w:pPr>
            <w:r w:rsidRPr="0023087C">
              <w:rPr>
                <w:b/>
                <w:sz w:val="22"/>
                <w:szCs w:val="22"/>
                <w:lang w:val="ro-RO"/>
              </w:rPr>
              <w:t>Suma Totală</w:t>
            </w:r>
          </w:p>
        </w:tc>
      </w:tr>
      <w:tr w:rsidR="0083787A" w:rsidRPr="0023087C" w:rsidTr="00205359">
        <w:tc>
          <w:tcPr>
            <w:tcW w:w="4410" w:type="dxa"/>
            <w:vMerge/>
            <w:shd w:val="clear" w:color="auto" w:fill="F2F2F2" w:themeFill="background1" w:themeFillShade="F2"/>
          </w:tcPr>
          <w:p w:rsidR="0083787A" w:rsidRPr="0023087C" w:rsidRDefault="0083787A" w:rsidP="00205359">
            <w:pPr>
              <w:rPr>
                <w:sz w:val="22"/>
                <w:szCs w:val="22"/>
                <w:lang w:val="ro-RO"/>
              </w:rPr>
            </w:pPr>
          </w:p>
        </w:tc>
        <w:tc>
          <w:tcPr>
            <w:tcW w:w="1152" w:type="dxa"/>
            <w:shd w:val="clear" w:color="auto" w:fill="F2F2F2" w:themeFill="background1" w:themeFillShade="F2"/>
            <w:vAlign w:val="center"/>
          </w:tcPr>
          <w:p w:rsidR="0083787A" w:rsidRPr="0023087C" w:rsidRDefault="0083787A" w:rsidP="00205359">
            <w:pPr>
              <w:jc w:val="center"/>
              <w:rPr>
                <w:sz w:val="22"/>
                <w:szCs w:val="22"/>
                <w:lang w:val="ro-RO"/>
              </w:rPr>
            </w:pPr>
            <w:r w:rsidRPr="0023087C">
              <w:rPr>
                <w:sz w:val="22"/>
                <w:szCs w:val="22"/>
                <w:lang w:val="ro-RO"/>
              </w:rPr>
              <w:t>%  ale tranșei totale</w:t>
            </w:r>
          </w:p>
        </w:tc>
        <w:tc>
          <w:tcPr>
            <w:tcW w:w="1152" w:type="dxa"/>
            <w:shd w:val="clear" w:color="auto" w:fill="F2F2F2" w:themeFill="background1" w:themeFillShade="F2"/>
            <w:vAlign w:val="center"/>
          </w:tcPr>
          <w:p w:rsidR="0083787A" w:rsidRPr="0023087C" w:rsidRDefault="0083787A" w:rsidP="00205359">
            <w:pPr>
              <w:jc w:val="center"/>
              <w:rPr>
                <w:sz w:val="22"/>
                <w:szCs w:val="22"/>
                <w:lang w:val="ro-RO"/>
              </w:rPr>
            </w:pPr>
            <w:r w:rsidRPr="0023087C">
              <w:rPr>
                <w:sz w:val="22"/>
                <w:szCs w:val="22"/>
                <w:lang w:val="ro-RO"/>
              </w:rPr>
              <w:t>Suma maximă</w:t>
            </w:r>
          </w:p>
          <w:p w:rsidR="0083787A" w:rsidRPr="0023087C" w:rsidRDefault="0083787A" w:rsidP="00205359">
            <w:pPr>
              <w:jc w:val="center"/>
              <w:rPr>
                <w:sz w:val="22"/>
                <w:szCs w:val="22"/>
                <w:lang w:val="ro-RO"/>
              </w:rPr>
            </w:pPr>
            <w:r w:rsidRPr="0023087C">
              <w:rPr>
                <w:sz w:val="22"/>
                <w:szCs w:val="22"/>
                <w:lang w:val="ro-RO"/>
              </w:rPr>
              <w:t>(mln. de euro)</w:t>
            </w:r>
          </w:p>
        </w:tc>
        <w:tc>
          <w:tcPr>
            <w:tcW w:w="1152" w:type="dxa"/>
            <w:shd w:val="clear" w:color="auto" w:fill="F2F2F2" w:themeFill="background1" w:themeFillShade="F2"/>
            <w:vAlign w:val="center"/>
          </w:tcPr>
          <w:p w:rsidR="0083787A" w:rsidRPr="0023087C" w:rsidRDefault="0083787A" w:rsidP="00205359">
            <w:pPr>
              <w:jc w:val="center"/>
              <w:rPr>
                <w:sz w:val="22"/>
                <w:szCs w:val="22"/>
                <w:lang w:val="ro-RO"/>
              </w:rPr>
            </w:pPr>
            <w:r w:rsidRPr="0023087C">
              <w:rPr>
                <w:sz w:val="22"/>
                <w:szCs w:val="22"/>
                <w:lang w:val="ro-RO"/>
              </w:rPr>
              <w:t>%  ale tranșei totale</w:t>
            </w:r>
          </w:p>
        </w:tc>
        <w:tc>
          <w:tcPr>
            <w:tcW w:w="1152" w:type="dxa"/>
            <w:shd w:val="clear" w:color="auto" w:fill="F2F2F2" w:themeFill="background1" w:themeFillShade="F2"/>
            <w:vAlign w:val="center"/>
          </w:tcPr>
          <w:p w:rsidR="0083787A" w:rsidRPr="0023087C" w:rsidRDefault="0083787A" w:rsidP="00205359">
            <w:pPr>
              <w:jc w:val="center"/>
              <w:rPr>
                <w:sz w:val="22"/>
                <w:szCs w:val="22"/>
                <w:lang w:val="ro-RO"/>
              </w:rPr>
            </w:pPr>
            <w:r w:rsidRPr="0023087C">
              <w:rPr>
                <w:sz w:val="22"/>
                <w:szCs w:val="22"/>
                <w:lang w:val="ro-RO"/>
              </w:rPr>
              <w:t>Suma maximă</w:t>
            </w:r>
          </w:p>
          <w:p w:rsidR="0083787A" w:rsidRPr="0023087C" w:rsidRDefault="0083787A" w:rsidP="00205359">
            <w:pPr>
              <w:jc w:val="center"/>
              <w:rPr>
                <w:sz w:val="22"/>
                <w:szCs w:val="22"/>
                <w:lang w:val="ro-RO"/>
              </w:rPr>
            </w:pPr>
            <w:r w:rsidRPr="0023087C">
              <w:rPr>
                <w:sz w:val="22"/>
                <w:szCs w:val="22"/>
                <w:lang w:val="ro-RO"/>
              </w:rPr>
              <w:t>(mln. de euro)</w:t>
            </w:r>
          </w:p>
        </w:tc>
        <w:tc>
          <w:tcPr>
            <w:tcW w:w="1152" w:type="dxa"/>
            <w:shd w:val="clear" w:color="auto" w:fill="F2F2F2" w:themeFill="background1" w:themeFillShade="F2"/>
            <w:vAlign w:val="center"/>
          </w:tcPr>
          <w:p w:rsidR="0083787A" w:rsidRPr="0023087C" w:rsidRDefault="0083787A" w:rsidP="00205359">
            <w:pPr>
              <w:jc w:val="center"/>
              <w:rPr>
                <w:sz w:val="22"/>
                <w:szCs w:val="22"/>
                <w:lang w:val="ro-RO"/>
              </w:rPr>
            </w:pPr>
            <w:r w:rsidRPr="0023087C">
              <w:rPr>
                <w:sz w:val="22"/>
                <w:szCs w:val="22"/>
                <w:lang w:val="ro-RO"/>
              </w:rPr>
              <w:t>%  ale tranșei totale</w:t>
            </w:r>
          </w:p>
        </w:tc>
        <w:tc>
          <w:tcPr>
            <w:tcW w:w="1152" w:type="dxa"/>
            <w:shd w:val="clear" w:color="auto" w:fill="F2F2F2" w:themeFill="background1" w:themeFillShade="F2"/>
            <w:vAlign w:val="center"/>
          </w:tcPr>
          <w:p w:rsidR="0083787A" w:rsidRPr="0023087C" w:rsidRDefault="0083787A" w:rsidP="00205359">
            <w:pPr>
              <w:jc w:val="center"/>
              <w:rPr>
                <w:sz w:val="22"/>
                <w:szCs w:val="22"/>
                <w:lang w:val="ro-RO"/>
              </w:rPr>
            </w:pPr>
            <w:r w:rsidRPr="0023087C">
              <w:rPr>
                <w:sz w:val="22"/>
                <w:szCs w:val="22"/>
                <w:lang w:val="ro-RO"/>
              </w:rPr>
              <w:t>Suma maximă</w:t>
            </w:r>
          </w:p>
          <w:p w:rsidR="0083787A" w:rsidRPr="0023087C" w:rsidRDefault="0083787A" w:rsidP="00205359">
            <w:pPr>
              <w:jc w:val="center"/>
              <w:rPr>
                <w:sz w:val="22"/>
                <w:szCs w:val="22"/>
                <w:lang w:val="ro-RO"/>
              </w:rPr>
            </w:pPr>
            <w:r w:rsidRPr="0023087C">
              <w:rPr>
                <w:sz w:val="22"/>
                <w:szCs w:val="22"/>
                <w:lang w:val="ro-RO"/>
              </w:rPr>
              <w:t>(mln. de euro)</w:t>
            </w:r>
          </w:p>
        </w:tc>
        <w:tc>
          <w:tcPr>
            <w:tcW w:w="1152" w:type="dxa"/>
            <w:shd w:val="clear" w:color="auto" w:fill="F2F2F2" w:themeFill="background1" w:themeFillShade="F2"/>
            <w:vAlign w:val="center"/>
          </w:tcPr>
          <w:p w:rsidR="0083787A" w:rsidRPr="0023087C" w:rsidRDefault="0083787A" w:rsidP="00205359">
            <w:pPr>
              <w:jc w:val="center"/>
              <w:rPr>
                <w:sz w:val="22"/>
                <w:szCs w:val="22"/>
                <w:lang w:val="ro-RO"/>
              </w:rPr>
            </w:pPr>
            <w:r w:rsidRPr="0023087C">
              <w:rPr>
                <w:sz w:val="22"/>
                <w:szCs w:val="22"/>
                <w:lang w:val="ro-RO"/>
              </w:rPr>
              <w:t>%  ale tranșei totale</w:t>
            </w:r>
          </w:p>
        </w:tc>
        <w:tc>
          <w:tcPr>
            <w:tcW w:w="1152" w:type="dxa"/>
            <w:shd w:val="clear" w:color="auto" w:fill="F2F2F2" w:themeFill="background1" w:themeFillShade="F2"/>
            <w:vAlign w:val="center"/>
          </w:tcPr>
          <w:p w:rsidR="0083787A" w:rsidRPr="0023087C" w:rsidRDefault="0083787A" w:rsidP="00205359">
            <w:pPr>
              <w:jc w:val="center"/>
              <w:rPr>
                <w:sz w:val="22"/>
                <w:szCs w:val="22"/>
                <w:lang w:val="ro-RO"/>
              </w:rPr>
            </w:pPr>
            <w:r w:rsidRPr="0023087C">
              <w:rPr>
                <w:sz w:val="22"/>
                <w:szCs w:val="22"/>
                <w:lang w:val="ro-RO"/>
              </w:rPr>
              <w:t>Suma maximă</w:t>
            </w:r>
          </w:p>
          <w:p w:rsidR="0083787A" w:rsidRPr="0023087C" w:rsidRDefault="0083787A" w:rsidP="00205359">
            <w:pPr>
              <w:jc w:val="center"/>
              <w:rPr>
                <w:sz w:val="22"/>
                <w:szCs w:val="22"/>
                <w:lang w:val="ro-RO"/>
              </w:rPr>
            </w:pPr>
            <w:r w:rsidRPr="0023087C">
              <w:rPr>
                <w:sz w:val="22"/>
                <w:szCs w:val="22"/>
                <w:lang w:val="ro-RO"/>
              </w:rPr>
              <w:t>(mln. de euro)</w:t>
            </w:r>
          </w:p>
        </w:tc>
        <w:tc>
          <w:tcPr>
            <w:tcW w:w="1152" w:type="dxa"/>
            <w:vMerge/>
            <w:shd w:val="clear" w:color="auto" w:fill="F2F2F2" w:themeFill="background1" w:themeFillShade="F2"/>
            <w:vAlign w:val="center"/>
          </w:tcPr>
          <w:p w:rsidR="0083787A" w:rsidRPr="0023087C" w:rsidRDefault="0083787A" w:rsidP="00205359">
            <w:pPr>
              <w:jc w:val="center"/>
              <w:rPr>
                <w:sz w:val="22"/>
                <w:szCs w:val="22"/>
                <w:lang w:val="ro-RO"/>
              </w:rPr>
            </w:pPr>
          </w:p>
        </w:tc>
      </w:tr>
      <w:tr w:rsidR="0083787A" w:rsidRPr="0023087C" w:rsidTr="00205359">
        <w:tc>
          <w:tcPr>
            <w:tcW w:w="4410" w:type="dxa"/>
            <w:shd w:val="clear" w:color="auto" w:fill="A6A6A6" w:themeFill="background1" w:themeFillShade="A6"/>
          </w:tcPr>
          <w:p w:rsidR="0083787A" w:rsidRPr="0023087C" w:rsidRDefault="0083787A" w:rsidP="00205359">
            <w:pPr>
              <w:rPr>
                <w:b/>
                <w:sz w:val="22"/>
                <w:szCs w:val="22"/>
                <w:lang w:val="ro-RO"/>
              </w:rPr>
            </w:pPr>
            <w:r w:rsidRPr="0023087C">
              <w:rPr>
                <w:b/>
                <w:sz w:val="22"/>
                <w:szCs w:val="22"/>
                <w:lang w:val="ro-RO"/>
              </w:rPr>
              <w:t>Total</w:t>
            </w:r>
          </w:p>
        </w:tc>
        <w:tc>
          <w:tcPr>
            <w:tcW w:w="1152" w:type="dxa"/>
            <w:shd w:val="clear" w:color="auto" w:fill="A6A6A6" w:themeFill="background1" w:themeFillShade="A6"/>
            <w:vAlign w:val="center"/>
          </w:tcPr>
          <w:p w:rsidR="0083787A" w:rsidRPr="0023087C" w:rsidRDefault="0083787A" w:rsidP="00205359">
            <w:pPr>
              <w:jc w:val="center"/>
              <w:rPr>
                <w:b/>
                <w:sz w:val="22"/>
                <w:szCs w:val="22"/>
                <w:lang w:val="ro-RO"/>
              </w:rPr>
            </w:pPr>
            <w:r w:rsidRPr="0023087C">
              <w:rPr>
                <w:b/>
                <w:sz w:val="22"/>
                <w:szCs w:val="22"/>
                <w:lang w:val="ro-RO"/>
              </w:rPr>
              <w:t>100</w:t>
            </w:r>
          </w:p>
        </w:tc>
        <w:tc>
          <w:tcPr>
            <w:tcW w:w="1152" w:type="dxa"/>
            <w:shd w:val="clear" w:color="auto" w:fill="A6A6A6" w:themeFill="background1" w:themeFillShade="A6"/>
            <w:vAlign w:val="center"/>
          </w:tcPr>
          <w:p w:rsidR="0083787A" w:rsidRPr="0023087C" w:rsidRDefault="0083787A" w:rsidP="00205359">
            <w:pPr>
              <w:jc w:val="center"/>
              <w:rPr>
                <w:b/>
                <w:sz w:val="22"/>
                <w:szCs w:val="22"/>
                <w:lang w:val="ro-RO"/>
              </w:rPr>
            </w:pPr>
            <w:r w:rsidRPr="0023087C">
              <w:rPr>
                <w:b/>
                <w:sz w:val="22"/>
                <w:szCs w:val="22"/>
                <w:lang w:val="ro-RO"/>
              </w:rPr>
              <w:t>8.0</w:t>
            </w:r>
          </w:p>
        </w:tc>
        <w:tc>
          <w:tcPr>
            <w:tcW w:w="1152" w:type="dxa"/>
            <w:shd w:val="clear" w:color="auto" w:fill="A6A6A6" w:themeFill="background1" w:themeFillShade="A6"/>
            <w:vAlign w:val="center"/>
          </w:tcPr>
          <w:p w:rsidR="0083787A" w:rsidRPr="0023087C" w:rsidRDefault="0083787A" w:rsidP="00205359">
            <w:pPr>
              <w:jc w:val="center"/>
              <w:rPr>
                <w:b/>
                <w:sz w:val="22"/>
                <w:szCs w:val="22"/>
                <w:lang w:val="ro-RO"/>
              </w:rPr>
            </w:pPr>
            <w:r w:rsidRPr="0023087C">
              <w:rPr>
                <w:b/>
                <w:sz w:val="22"/>
                <w:szCs w:val="22"/>
                <w:lang w:val="ro-RO"/>
              </w:rPr>
              <w:t>100</w:t>
            </w:r>
          </w:p>
        </w:tc>
        <w:tc>
          <w:tcPr>
            <w:tcW w:w="1152" w:type="dxa"/>
            <w:shd w:val="clear" w:color="auto" w:fill="A6A6A6" w:themeFill="background1" w:themeFillShade="A6"/>
            <w:vAlign w:val="center"/>
          </w:tcPr>
          <w:p w:rsidR="0083787A" w:rsidRPr="0023087C" w:rsidRDefault="0083787A" w:rsidP="00205359">
            <w:pPr>
              <w:jc w:val="center"/>
              <w:rPr>
                <w:b/>
                <w:sz w:val="22"/>
                <w:szCs w:val="22"/>
                <w:lang w:val="ro-RO"/>
              </w:rPr>
            </w:pPr>
            <w:r w:rsidRPr="0023087C">
              <w:rPr>
                <w:b/>
                <w:sz w:val="22"/>
                <w:szCs w:val="22"/>
                <w:lang w:val="ro-RO"/>
              </w:rPr>
              <w:t>8.0</w:t>
            </w:r>
          </w:p>
        </w:tc>
        <w:tc>
          <w:tcPr>
            <w:tcW w:w="1152" w:type="dxa"/>
            <w:shd w:val="clear" w:color="auto" w:fill="A6A6A6" w:themeFill="background1" w:themeFillShade="A6"/>
            <w:vAlign w:val="center"/>
          </w:tcPr>
          <w:p w:rsidR="0083787A" w:rsidRPr="0023087C" w:rsidRDefault="0083787A" w:rsidP="00205359">
            <w:pPr>
              <w:jc w:val="center"/>
              <w:rPr>
                <w:b/>
                <w:sz w:val="22"/>
                <w:szCs w:val="22"/>
                <w:lang w:val="ro-RO"/>
              </w:rPr>
            </w:pPr>
            <w:r w:rsidRPr="0023087C">
              <w:rPr>
                <w:b/>
                <w:sz w:val="22"/>
                <w:szCs w:val="22"/>
                <w:lang w:val="ro-RO"/>
              </w:rPr>
              <w:t>100</w:t>
            </w:r>
          </w:p>
        </w:tc>
        <w:tc>
          <w:tcPr>
            <w:tcW w:w="1152" w:type="dxa"/>
            <w:shd w:val="clear" w:color="auto" w:fill="A6A6A6" w:themeFill="background1" w:themeFillShade="A6"/>
            <w:vAlign w:val="center"/>
          </w:tcPr>
          <w:p w:rsidR="0083787A" w:rsidRPr="0023087C" w:rsidRDefault="0083787A" w:rsidP="00205359">
            <w:pPr>
              <w:jc w:val="center"/>
              <w:rPr>
                <w:b/>
                <w:sz w:val="22"/>
                <w:szCs w:val="22"/>
                <w:lang w:val="ro-RO"/>
              </w:rPr>
            </w:pPr>
            <w:r w:rsidRPr="0023087C">
              <w:rPr>
                <w:b/>
                <w:sz w:val="22"/>
                <w:szCs w:val="22"/>
                <w:lang w:val="ro-RO"/>
              </w:rPr>
              <w:t>8.0</w:t>
            </w:r>
          </w:p>
        </w:tc>
        <w:tc>
          <w:tcPr>
            <w:tcW w:w="1152" w:type="dxa"/>
            <w:shd w:val="clear" w:color="auto" w:fill="A6A6A6" w:themeFill="background1" w:themeFillShade="A6"/>
            <w:vAlign w:val="center"/>
          </w:tcPr>
          <w:p w:rsidR="0083787A" w:rsidRPr="0023087C" w:rsidRDefault="0083787A" w:rsidP="00205359">
            <w:pPr>
              <w:jc w:val="center"/>
              <w:rPr>
                <w:b/>
                <w:sz w:val="22"/>
                <w:szCs w:val="22"/>
                <w:lang w:val="ro-RO"/>
              </w:rPr>
            </w:pPr>
            <w:r w:rsidRPr="0023087C">
              <w:rPr>
                <w:b/>
                <w:sz w:val="22"/>
                <w:szCs w:val="22"/>
                <w:lang w:val="ro-RO"/>
              </w:rPr>
              <w:t>100</w:t>
            </w:r>
          </w:p>
        </w:tc>
        <w:tc>
          <w:tcPr>
            <w:tcW w:w="1152" w:type="dxa"/>
            <w:shd w:val="clear" w:color="auto" w:fill="A6A6A6" w:themeFill="background1" w:themeFillShade="A6"/>
            <w:vAlign w:val="center"/>
          </w:tcPr>
          <w:p w:rsidR="0083787A" w:rsidRPr="0023087C" w:rsidRDefault="0083787A" w:rsidP="00205359">
            <w:pPr>
              <w:jc w:val="center"/>
              <w:rPr>
                <w:b/>
                <w:sz w:val="22"/>
                <w:szCs w:val="22"/>
                <w:lang w:val="ro-RO"/>
              </w:rPr>
            </w:pPr>
            <w:r w:rsidRPr="0023087C">
              <w:rPr>
                <w:b/>
                <w:sz w:val="22"/>
                <w:szCs w:val="22"/>
                <w:lang w:val="ro-RO"/>
              </w:rPr>
              <w:t>9.0</w:t>
            </w:r>
          </w:p>
        </w:tc>
        <w:tc>
          <w:tcPr>
            <w:tcW w:w="1152" w:type="dxa"/>
            <w:shd w:val="clear" w:color="auto" w:fill="A6A6A6" w:themeFill="background1" w:themeFillShade="A6"/>
            <w:vAlign w:val="center"/>
          </w:tcPr>
          <w:p w:rsidR="0083787A" w:rsidRPr="0023087C" w:rsidRDefault="0083787A" w:rsidP="00205359">
            <w:pPr>
              <w:jc w:val="center"/>
              <w:rPr>
                <w:b/>
                <w:sz w:val="22"/>
                <w:szCs w:val="22"/>
                <w:lang w:val="ro-RO"/>
              </w:rPr>
            </w:pPr>
            <w:r w:rsidRPr="0023087C">
              <w:rPr>
                <w:b/>
                <w:sz w:val="22"/>
                <w:szCs w:val="22"/>
                <w:lang w:val="ro-RO"/>
              </w:rPr>
              <w:t>33.0</w:t>
            </w:r>
          </w:p>
        </w:tc>
      </w:tr>
      <w:tr w:rsidR="0083787A" w:rsidRPr="0023087C" w:rsidTr="00205359">
        <w:tc>
          <w:tcPr>
            <w:tcW w:w="4410" w:type="dxa"/>
            <w:shd w:val="clear" w:color="auto" w:fill="BFBFBF" w:themeFill="background1" w:themeFillShade="BF"/>
          </w:tcPr>
          <w:p w:rsidR="0083787A" w:rsidRPr="0023087C" w:rsidRDefault="0083787A" w:rsidP="00205359">
            <w:pPr>
              <w:rPr>
                <w:b/>
                <w:sz w:val="22"/>
                <w:szCs w:val="22"/>
                <w:lang w:val="ro-RO"/>
              </w:rPr>
            </w:pPr>
            <w:r w:rsidRPr="0023087C">
              <w:rPr>
                <w:b/>
                <w:sz w:val="22"/>
                <w:szCs w:val="22"/>
                <w:lang w:val="ro-RO"/>
              </w:rPr>
              <w:t>Tranșă fixă</w:t>
            </w:r>
          </w:p>
        </w:tc>
        <w:tc>
          <w:tcPr>
            <w:tcW w:w="1152" w:type="dxa"/>
            <w:shd w:val="clear" w:color="auto" w:fill="BFBFBF" w:themeFill="background1" w:themeFillShade="BF"/>
            <w:vAlign w:val="center"/>
          </w:tcPr>
          <w:p w:rsidR="0083787A" w:rsidRPr="0023087C" w:rsidRDefault="0083787A" w:rsidP="00205359">
            <w:pPr>
              <w:jc w:val="center"/>
              <w:rPr>
                <w:b/>
                <w:sz w:val="22"/>
                <w:szCs w:val="22"/>
                <w:lang w:val="ro-RO"/>
              </w:rPr>
            </w:pPr>
            <w:r w:rsidRPr="0023087C">
              <w:rPr>
                <w:b/>
                <w:sz w:val="22"/>
                <w:szCs w:val="22"/>
                <w:lang w:val="ro-RO"/>
              </w:rPr>
              <w:t>100</w:t>
            </w:r>
          </w:p>
        </w:tc>
        <w:tc>
          <w:tcPr>
            <w:tcW w:w="1152" w:type="dxa"/>
            <w:shd w:val="clear" w:color="auto" w:fill="BFBFBF" w:themeFill="background1" w:themeFillShade="BF"/>
            <w:vAlign w:val="center"/>
          </w:tcPr>
          <w:p w:rsidR="0083787A" w:rsidRPr="0023087C" w:rsidRDefault="0083787A" w:rsidP="00205359">
            <w:pPr>
              <w:jc w:val="center"/>
              <w:rPr>
                <w:b/>
                <w:sz w:val="22"/>
                <w:szCs w:val="22"/>
                <w:lang w:val="ro-RO"/>
              </w:rPr>
            </w:pPr>
            <w:r w:rsidRPr="0023087C">
              <w:rPr>
                <w:b/>
                <w:sz w:val="22"/>
                <w:szCs w:val="22"/>
                <w:lang w:val="ro-RO"/>
              </w:rPr>
              <w:t>8.0</w:t>
            </w:r>
          </w:p>
        </w:tc>
        <w:tc>
          <w:tcPr>
            <w:tcW w:w="1152" w:type="dxa"/>
            <w:shd w:val="clear" w:color="auto" w:fill="BFBFBF" w:themeFill="background1" w:themeFillShade="BF"/>
            <w:vAlign w:val="center"/>
          </w:tcPr>
          <w:p w:rsidR="0083787A" w:rsidRPr="0023087C" w:rsidRDefault="0083787A" w:rsidP="00205359">
            <w:pPr>
              <w:jc w:val="center"/>
              <w:rPr>
                <w:b/>
                <w:sz w:val="22"/>
                <w:szCs w:val="22"/>
                <w:lang w:val="ro-RO"/>
              </w:rPr>
            </w:pPr>
            <w:r w:rsidRPr="0023087C">
              <w:rPr>
                <w:b/>
                <w:sz w:val="22"/>
                <w:szCs w:val="22"/>
                <w:lang w:val="ro-RO"/>
              </w:rPr>
              <w:t>0.0</w:t>
            </w:r>
          </w:p>
        </w:tc>
        <w:tc>
          <w:tcPr>
            <w:tcW w:w="1152" w:type="dxa"/>
            <w:shd w:val="clear" w:color="auto" w:fill="BFBFBF" w:themeFill="background1" w:themeFillShade="BF"/>
            <w:vAlign w:val="center"/>
          </w:tcPr>
          <w:p w:rsidR="0083787A" w:rsidRPr="0023087C" w:rsidRDefault="0083787A" w:rsidP="00205359">
            <w:pPr>
              <w:jc w:val="center"/>
              <w:rPr>
                <w:b/>
                <w:sz w:val="22"/>
                <w:szCs w:val="22"/>
                <w:lang w:val="ro-RO"/>
              </w:rPr>
            </w:pPr>
            <w:r w:rsidRPr="0023087C">
              <w:rPr>
                <w:b/>
                <w:sz w:val="22"/>
                <w:szCs w:val="22"/>
                <w:lang w:val="ro-RO"/>
              </w:rPr>
              <w:t>0.0</w:t>
            </w:r>
          </w:p>
        </w:tc>
        <w:tc>
          <w:tcPr>
            <w:tcW w:w="1152" w:type="dxa"/>
            <w:shd w:val="clear" w:color="auto" w:fill="BFBFBF" w:themeFill="background1" w:themeFillShade="BF"/>
            <w:vAlign w:val="center"/>
          </w:tcPr>
          <w:p w:rsidR="0083787A" w:rsidRPr="0023087C" w:rsidRDefault="0083787A" w:rsidP="00205359">
            <w:pPr>
              <w:jc w:val="center"/>
              <w:rPr>
                <w:b/>
                <w:sz w:val="22"/>
                <w:szCs w:val="22"/>
                <w:lang w:val="ro-RO"/>
              </w:rPr>
            </w:pPr>
            <w:r w:rsidRPr="0023087C">
              <w:rPr>
                <w:b/>
                <w:sz w:val="22"/>
                <w:szCs w:val="22"/>
                <w:lang w:val="ro-RO"/>
              </w:rPr>
              <w:t>0.0</w:t>
            </w:r>
          </w:p>
        </w:tc>
        <w:tc>
          <w:tcPr>
            <w:tcW w:w="1152" w:type="dxa"/>
            <w:shd w:val="clear" w:color="auto" w:fill="BFBFBF" w:themeFill="background1" w:themeFillShade="BF"/>
            <w:vAlign w:val="center"/>
          </w:tcPr>
          <w:p w:rsidR="0083787A" w:rsidRPr="0023087C" w:rsidRDefault="0083787A" w:rsidP="00205359">
            <w:pPr>
              <w:jc w:val="center"/>
              <w:rPr>
                <w:b/>
                <w:sz w:val="22"/>
                <w:szCs w:val="22"/>
                <w:lang w:val="ro-RO"/>
              </w:rPr>
            </w:pPr>
            <w:r w:rsidRPr="0023087C">
              <w:rPr>
                <w:b/>
                <w:sz w:val="22"/>
                <w:szCs w:val="22"/>
                <w:lang w:val="ro-RO"/>
              </w:rPr>
              <w:t>0.0</w:t>
            </w:r>
          </w:p>
        </w:tc>
        <w:tc>
          <w:tcPr>
            <w:tcW w:w="1152" w:type="dxa"/>
            <w:shd w:val="clear" w:color="auto" w:fill="BFBFBF" w:themeFill="background1" w:themeFillShade="BF"/>
            <w:vAlign w:val="center"/>
          </w:tcPr>
          <w:p w:rsidR="0083787A" w:rsidRPr="0023087C" w:rsidRDefault="0083787A" w:rsidP="00205359">
            <w:pPr>
              <w:jc w:val="center"/>
              <w:rPr>
                <w:b/>
                <w:sz w:val="22"/>
                <w:szCs w:val="22"/>
                <w:lang w:val="ro-RO"/>
              </w:rPr>
            </w:pPr>
            <w:r w:rsidRPr="0023087C">
              <w:rPr>
                <w:b/>
                <w:sz w:val="22"/>
                <w:szCs w:val="22"/>
                <w:lang w:val="ro-RO"/>
              </w:rPr>
              <w:t>0.0</w:t>
            </w:r>
          </w:p>
        </w:tc>
        <w:tc>
          <w:tcPr>
            <w:tcW w:w="1152" w:type="dxa"/>
            <w:shd w:val="clear" w:color="auto" w:fill="BFBFBF" w:themeFill="background1" w:themeFillShade="BF"/>
            <w:vAlign w:val="center"/>
          </w:tcPr>
          <w:p w:rsidR="0083787A" w:rsidRPr="0023087C" w:rsidRDefault="0083787A" w:rsidP="00205359">
            <w:pPr>
              <w:jc w:val="center"/>
              <w:rPr>
                <w:b/>
                <w:sz w:val="22"/>
                <w:szCs w:val="22"/>
                <w:lang w:val="ro-RO"/>
              </w:rPr>
            </w:pPr>
            <w:r w:rsidRPr="0023087C">
              <w:rPr>
                <w:b/>
                <w:sz w:val="22"/>
                <w:szCs w:val="22"/>
                <w:lang w:val="ro-RO"/>
              </w:rPr>
              <w:t>0.0</w:t>
            </w:r>
          </w:p>
        </w:tc>
        <w:tc>
          <w:tcPr>
            <w:tcW w:w="1152" w:type="dxa"/>
            <w:shd w:val="clear" w:color="auto" w:fill="BFBFBF" w:themeFill="background1" w:themeFillShade="BF"/>
            <w:vAlign w:val="center"/>
          </w:tcPr>
          <w:p w:rsidR="0083787A" w:rsidRPr="0023087C" w:rsidRDefault="0083787A" w:rsidP="00205359">
            <w:pPr>
              <w:jc w:val="center"/>
              <w:rPr>
                <w:b/>
                <w:sz w:val="22"/>
                <w:szCs w:val="22"/>
                <w:lang w:val="ro-RO"/>
              </w:rPr>
            </w:pPr>
            <w:r w:rsidRPr="0023087C">
              <w:rPr>
                <w:b/>
                <w:sz w:val="22"/>
                <w:szCs w:val="22"/>
                <w:lang w:val="ro-RO"/>
              </w:rPr>
              <w:t>8.0</w:t>
            </w:r>
          </w:p>
        </w:tc>
      </w:tr>
      <w:tr w:rsidR="0083787A" w:rsidRPr="0023087C" w:rsidTr="00205359">
        <w:tc>
          <w:tcPr>
            <w:tcW w:w="4410" w:type="dxa"/>
            <w:shd w:val="clear" w:color="auto" w:fill="BFBFBF" w:themeFill="background1" w:themeFillShade="BF"/>
          </w:tcPr>
          <w:p w:rsidR="0083787A" w:rsidRPr="0023087C" w:rsidRDefault="0083787A" w:rsidP="00205359">
            <w:pPr>
              <w:rPr>
                <w:b/>
                <w:sz w:val="22"/>
                <w:szCs w:val="22"/>
                <w:lang w:val="ro-RO"/>
              </w:rPr>
            </w:pPr>
            <w:r w:rsidRPr="0023087C">
              <w:rPr>
                <w:b/>
                <w:sz w:val="22"/>
                <w:szCs w:val="22"/>
                <w:lang w:val="ro-RO"/>
              </w:rPr>
              <w:t>Tranșă Variabilă</w:t>
            </w:r>
          </w:p>
        </w:tc>
        <w:tc>
          <w:tcPr>
            <w:tcW w:w="1152" w:type="dxa"/>
            <w:shd w:val="clear" w:color="auto" w:fill="BFBFBF" w:themeFill="background1" w:themeFillShade="BF"/>
            <w:vAlign w:val="center"/>
          </w:tcPr>
          <w:p w:rsidR="0083787A" w:rsidRPr="0023087C" w:rsidRDefault="0083787A" w:rsidP="00205359">
            <w:pPr>
              <w:jc w:val="center"/>
              <w:rPr>
                <w:b/>
                <w:sz w:val="22"/>
                <w:szCs w:val="22"/>
                <w:lang w:val="ro-RO"/>
              </w:rPr>
            </w:pPr>
            <w:r w:rsidRPr="0023087C">
              <w:rPr>
                <w:b/>
                <w:sz w:val="22"/>
                <w:szCs w:val="22"/>
                <w:lang w:val="ro-RO"/>
              </w:rPr>
              <w:t>0.0</w:t>
            </w:r>
          </w:p>
        </w:tc>
        <w:tc>
          <w:tcPr>
            <w:tcW w:w="1152" w:type="dxa"/>
            <w:shd w:val="clear" w:color="auto" w:fill="BFBFBF" w:themeFill="background1" w:themeFillShade="BF"/>
            <w:vAlign w:val="center"/>
          </w:tcPr>
          <w:p w:rsidR="0083787A" w:rsidRPr="0023087C" w:rsidRDefault="0083787A" w:rsidP="00205359">
            <w:pPr>
              <w:jc w:val="center"/>
              <w:rPr>
                <w:b/>
                <w:sz w:val="22"/>
                <w:szCs w:val="22"/>
                <w:lang w:val="ro-RO"/>
              </w:rPr>
            </w:pPr>
            <w:r w:rsidRPr="0023087C">
              <w:rPr>
                <w:b/>
                <w:sz w:val="22"/>
                <w:szCs w:val="22"/>
                <w:lang w:val="ro-RO"/>
              </w:rPr>
              <w:t>0.0</w:t>
            </w:r>
          </w:p>
        </w:tc>
        <w:tc>
          <w:tcPr>
            <w:tcW w:w="1152" w:type="dxa"/>
            <w:shd w:val="clear" w:color="auto" w:fill="BFBFBF" w:themeFill="background1" w:themeFillShade="BF"/>
            <w:vAlign w:val="center"/>
          </w:tcPr>
          <w:p w:rsidR="0083787A" w:rsidRPr="0023087C" w:rsidRDefault="0083787A" w:rsidP="00205359">
            <w:pPr>
              <w:jc w:val="center"/>
              <w:rPr>
                <w:b/>
                <w:sz w:val="22"/>
                <w:szCs w:val="22"/>
                <w:lang w:val="ro-RO"/>
              </w:rPr>
            </w:pPr>
            <w:r w:rsidRPr="0023087C">
              <w:rPr>
                <w:b/>
                <w:sz w:val="22"/>
                <w:szCs w:val="22"/>
                <w:lang w:val="ro-RO"/>
              </w:rPr>
              <w:t>100</w:t>
            </w:r>
          </w:p>
        </w:tc>
        <w:tc>
          <w:tcPr>
            <w:tcW w:w="1152" w:type="dxa"/>
            <w:shd w:val="clear" w:color="auto" w:fill="BFBFBF" w:themeFill="background1" w:themeFillShade="BF"/>
            <w:vAlign w:val="center"/>
          </w:tcPr>
          <w:p w:rsidR="0083787A" w:rsidRPr="0023087C" w:rsidRDefault="0083787A" w:rsidP="00205359">
            <w:pPr>
              <w:jc w:val="center"/>
              <w:rPr>
                <w:b/>
                <w:sz w:val="22"/>
                <w:szCs w:val="22"/>
                <w:lang w:val="ro-RO"/>
              </w:rPr>
            </w:pPr>
            <w:r w:rsidRPr="0023087C">
              <w:rPr>
                <w:b/>
                <w:sz w:val="22"/>
                <w:szCs w:val="22"/>
                <w:lang w:val="ro-RO"/>
              </w:rPr>
              <w:t>8.0</w:t>
            </w:r>
          </w:p>
        </w:tc>
        <w:tc>
          <w:tcPr>
            <w:tcW w:w="1152" w:type="dxa"/>
            <w:shd w:val="clear" w:color="auto" w:fill="BFBFBF" w:themeFill="background1" w:themeFillShade="BF"/>
            <w:vAlign w:val="center"/>
          </w:tcPr>
          <w:p w:rsidR="0083787A" w:rsidRPr="0023087C" w:rsidRDefault="0083787A" w:rsidP="00205359">
            <w:pPr>
              <w:jc w:val="center"/>
              <w:rPr>
                <w:b/>
                <w:sz w:val="22"/>
                <w:szCs w:val="22"/>
                <w:lang w:val="ro-RO"/>
              </w:rPr>
            </w:pPr>
            <w:r w:rsidRPr="0023087C">
              <w:rPr>
                <w:b/>
                <w:sz w:val="22"/>
                <w:szCs w:val="22"/>
                <w:lang w:val="ro-RO"/>
              </w:rPr>
              <w:t>100</w:t>
            </w:r>
          </w:p>
        </w:tc>
        <w:tc>
          <w:tcPr>
            <w:tcW w:w="1152" w:type="dxa"/>
            <w:shd w:val="clear" w:color="auto" w:fill="BFBFBF" w:themeFill="background1" w:themeFillShade="BF"/>
            <w:vAlign w:val="center"/>
          </w:tcPr>
          <w:p w:rsidR="0083787A" w:rsidRPr="0023087C" w:rsidRDefault="0083787A" w:rsidP="00205359">
            <w:pPr>
              <w:jc w:val="center"/>
              <w:rPr>
                <w:b/>
                <w:sz w:val="22"/>
                <w:szCs w:val="22"/>
                <w:lang w:val="ro-RO"/>
              </w:rPr>
            </w:pPr>
            <w:r w:rsidRPr="0023087C">
              <w:rPr>
                <w:b/>
                <w:sz w:val="22"/>
                <w:szCs w:val="22"/>
                <w:lang w:val="ro-RO"/>
              </w:rPr>
              <w:t>8.0</w:t>
            </w:r>
          </w:p>
        </w:tc>
        <w:tc>
          <w:tcPr>
            <w:tcW w:w="1152" w:type="dxa"/>
            <w:shd w:val="clear" w:color="auto" w:fill="BFBFBF" w:themeFill="background1" w:themeFillShade="BF"/>
            <w:vAlign w:val="center"/>
          </w:tcPr>
          <w:p w:rsidR="0083787A" w:rsidRPr="0023087C" w:rsidRDefault="0083787A" w:rsidP="00205359">
            <w:pPr>
              <w:jc w:val="center"/>
              <w:rPr>
                <w:b/>
                <w:sz w:val="22"/>
                <w:szCs w:val="22"/>
                <w:lang w:val="ro-RO"/>
              </w:rPr>
            </w:pPr>
            <w:r w:rsidRPr="0023087C">
              <w:rPr>
                <w:b/>
                <w:sz w:val="22"/>
                <w:szCs w:val="22"/>
                <w:lang w:val="ro-RO"/>
              </w:rPr>
              <w:t>100</w:t>
            </w:r>
          </w:p>
        </w:tc>
        <w:tc>
          <w:tcPr>
            <w:tcW w:w="1152" w:type="dxa"/>
            <w:shd w:val="clear" w:color="auto" w:fill="BFBFBF" w:themeFill="background1" w:themeFillShade="BF"/>
            <w:vAlign w:val="center"/>
          </w:tcPr>
          <w:p w:rsidR="0083787A" w:rsidRPr="0023087C" w:rsidRDefault="0083787A" w:rsidP="00205359">
            <w:pPr>
              <w:jc w:val="center"/>
              <w:rPr>
                <w:b/>
                <w:sz w:val="22"/>
                <w:szCs w:val="22"/>
                <w:lang w:val="ro-RO"/>
              </w:rPr>
            </w:pPr>
            <w:r w:rsidRPr="0023087C">
              <w:rPr>
                <w:b/>
                <w:sz w:val="22"/>
                <w:szCs w:val="22"/>
                <w:lang w:val="ro-RO"/>
              </w:rPr>
              <w:t>9.0</w:t>
            </w:r>
          </w:p>
        </w:tc>
        <w:tc>
          <w:tcPr>
            <w:tcW w:w="1152" w:type="dxa"/>
            <w:shd w:val="clear" w:color="auto" w:fill="BFBFBF" w:themeFill="background1" w:themeFillShade="BF"/>
            <w:vAlign w:val="center"/>
          </w:tcPr>
          <w:p w:rsidR="0083787A" w:rsidRPr="0023087C" w:rsidRDefault="0083787A" w:rsidP="00205359">
            <w:pPr>
              <w:jc w:val="center"/>
              <w:rPr>
                <w:b/>
                <w:sz w:val="22"/>
                <w:szCs w:val="22"/>
                <w:lang w:val="ro-RO"/>
              </w:rPr>
            </w:pPr>
            <w:r w:rsidRPr="0023087C">
              <w:rPr>
                <w:b/>
                <w:sz w:val="22"/>
                <w:szCs w:val="22"/>
                <w:lang w:val="ro-RO"/>
              </w:rPr>
              <w:t>25.0</w:t>
            </w:r>
          </w:p>
        </w:tc>
      </w:tr>
      <w:tr w:rsidR="0083787A" w:rsidRPr="0023087C" w:rsidTr="00205359">
        <w:tc>
          <w:tcPr>
            <w:tcW w:w="4410" w:type="dxa"/>
            <w:shd w:val="clear" w:color="auto" w:fill="D9D9D9" w:themeFill="background1" w:themeFillShade="D9"/>
          </w:tcPr>
          <w:p w:rsidR="0083787A" w:rsidRPr="0023087C" w:rsidRDefault="0083787A" w:rsidP="00205359">
            <w:pPr>
              <w:rPr>
                <w:sz w:val="22"/>
                <w:szCs w:val="22"/>
                <w:lang w:val="ro-RO"/>
              </w:rPr>
            </w:pPr>
            <w:r w:rsidRPr="0023087C">
              <w:rPr>
                <w:b/>
                <w:sz w:val="22"/>
                <w:szCs w:val="22"/>
                <w:lang w:val="ro-RO"/>
              </w:rPr>
              <w:t>A. Guvernul Republicii Moldova (Ministerul Finanțelor)</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50</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4.0</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50</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4.0</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44.4</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4.0</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12.0</w:t>
            </w:r>
          </w:p>
        </w:tc>
      </w:tr>
      <w:tr w:rsidR="0083787A" w:rsidRPr="0023087C" w:rsidTr="00205359">
        <w:tc>
          <w:tcPr>
            <w:tcW w:w="4410" w:type="dxa"/>
          </w:tcPr>
          <w:p w:rsidR="0083787A" w:rsidRPr="0023087C" w:rsidRDefault="0083787A" w:rsidP="00205359">
            <w:pPr>
              <w:rPr>
                <w:sz w:val="22"/>
                <w:szCs w:val="22"/>
                <w:lang w:val="ro-RO"/>
              </w:rPr>
            </w:pPr>
            <w:r w:rsidRPr="0023087C">
              <w:rPr>
                <w:sz w:val="22"/>
                <w:szCs w:val="22"/>
                <w:lang w:val="ro-RO"/>
              </w:rPr>
              <w:t>A1: Îmbunătățirea administrării fiscale și sporirea instituțiilor fiscale independente</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12.5</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12.5</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11.1</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3.0</w:t>
            </w:r>
          </w:p>
        </w:tc>
      </w:tr>
      <w:tr w:rsidR="0083787A" w:rsidRPr="0023087C" w:rsidTr="00205359">
        <w:tc>
          <w:tcPr>
            <w:tcW w:w="4410" w:type="dxa"/>
          </w:tcPr>
          <w:p w:rsidR="0083787A" w:rsidRPr="0023087C" w:rsidRDefault="0083787A" w:rsidP="00205359">
            <w:pPr>
              <w:rPr>
                <w:sz w:val="22"/>
                <w:szCs w:val="22"/>
                <w:lang w:val="ro-RO"/>
              </w:rPr>
            </w:pPr>
            <w:r w:rsidRPr="0023087C">
              <w:rPr>
                <w:sz w:val="22"/>
                <w:szCs w:val="22"/>
                <w:lang w:val="ro-RO"/>
              </w:rPr>
              <w:t>A2: Consolidarea planificării pe Termen Mediu și Îmbunătățirea accesului public la informația bugetară</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12.5</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12.5</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11.1</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3.0</w:t>
            </w:r>
          </w:p>
        </w:tc>
      </w:tr>
      <w:tr w:rsidR="0083787A" w:rsidRPr="0023087C" w:rsidTr="00205359">
        <w:tc>
          <w:tcPr>
            <w:tcW w:w="4410" w:type="dxa"/>
          </w:tcPr>
          <w:p w:rsidR="0083787A" w:rsidRPr="0023087C" w:rsidRDefault="0083787A" w:rsidP="00205359">
            <w:pPr>
              <w:rPr>
                <w:sz w:val="22"/>
                <w:szCs w:val="22"/>
                <w:lang w:val="ro-RO"/>
              </w:rPr>
            </w:pPr>
            <w:r w:rsidRPr="0023087C">
              <w:rPr>
                <w:sz w:val="22"/>
                <w:szCs w:val="22"/>
                <w:lang w:val="ro-RO"/>
              </w:rPr>
              <w:t>A3: Îmbunătățirea controlului și raportării cheltuielilor</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12.5</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12.5</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11.1</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3.0</w:t>
            </w:r>
          </w:p>
        </w:tc>
      </w:tr>
      <w:tr w:rsidR="0083787A" w:rsidRPr="0023087C" w:rsidTr="00205359">
        <w:tc>
          <w:tcPr>
            <w:tcW w:w="4410" w:type="dxa"/>
          </w:tcPr>
          <w:p w:rsidR="0083787A" w:rsidRPr="0023087C" w:rsidRDefault="0083787A" w:rsidP="00205359">
            <w:pPr>
              <w:rPr>
                <w:sz w:val="22"/>
                <w:szCs w:val="22"/>
                <w:lang w:val="ro-RO"/>
              </w:rPr>
            </w:pPr>
            <w:r w:rsidRPr="0023087C">
              <w:rPr>
                <w:sz w:val="22"/>
                <w:szCs w:val="22"/>
                <w:lang w:val="ro-RO"/>
              </w:rPr>
              <w:t>A4: Întărirea managementului datoriei publice</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12.5</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12.5</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11.1</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3.0</w:t>
            </w:r>
          </w:p>
        </w:tc>
      </w:tr>
      <w:tr w:rsidR="0083787A" w:rsidRPr="0023087C" w:rsidTr="00205359">
        <w:tc>
          <w:tcPr>
            <w:tcW w:w="4410" w:type="dxa"/>
            <w:shd w:val="clear" w:color="auto" w:fill="D9D9D9" w:themeFill="background1" w:themeFillShade="D9"/>
          </w:tcPr>
          <w:p w:rsidR="0083787A" w:rsidRPr="0023087C" w:rsidRDefault="0083787A" w:rsidP="00205359">
            <w:pPr>
              <w:rPr>
                <w:sz w:val="22"/>
                <w:szCs w:val="22"/>
                <w:lang w:val="ro-RO"/>
              </w:rPr>
            </w:pPr>
            <w:r w:rsidRPr="0023087C">
              <w:rPr>
                <w:b/>
                <w:sz w:val="22"/>
                <w:szCs w:val="22"/>
                <w:lang w:val="ro-RO"/>
              </w:rPr>
              <w:t>B. Parlamentul Republicii Moldova (Comisia Economie, Buget și Finanțe, PCEBF)</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20</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1.6</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20</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1.6</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22.2</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2.0</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5.2</w:t>
            </w:r>
          </w:p>
        </w:tc>
      </w:tr>
      <w:tr w:rsidR="0083787A" w:rsidRPr="0023087C" w:rsidTr="00205359">
        <w:tc>
          <w:tcPr>
            <w:tcW w:w="4410" w:type="dxa"/>
          </w:tcPr>
          <w:p w:rsidR="0083787A" w:rsidRPr="0023087C" w:rsidRDefault="0083787A" w:rsidP="00205359">
            <w:pPr>
              <w:rPr>
                <w:sz w:val="22"/>
                <w:szCs w:val="22"/>
                <w:lang w:val="ro-RO"/>
              </w:rPr>
            </w:pPr>
            <w:r w:rsidRPr="0023087C">
              <w:rPr>
                <w:sz w:val="22"/>
                <w:szCs w:val="22"/>
                <w:lang w:val="ro-RO"/>
              </w:rPr>
              <w:t>B1: Întărirea capacității de control legislative și supraveghere a bugetului</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0.8</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0.8</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11.1</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2.6</w:t>
            </w:r>
          </w:p>
        </w:tc>
      </w:tr>
      <w:tr w:rsidR="0083787A" w:rsidRPr="0023087C" w:rsidTr="00205359">
        <w:tc>
          <w:tcPr>
            <w:tcW w:w="4410" w:type="dxa"/>
          </w:tcPr>
          <w:p w:rsidR="0083787A" w:rsidRPr="0023087C" w:rsidRDefault="0083787A" w:rsidP="00205359">
            <w:pPr>
              <w:rPr>
                <w:sz w:val="22"/>
                <w:szCs w:val="22"/>
                <w:lang w:val="ro-RO"/>
              </w:rPr>
            </w:pPr>
            <w:r w:rsidRPr="0023087C">
              <w:rPr>
                <w:sz w:val="22"/>
                <w:szCs w:val="22"/>
                <w:lang w:val="ro-RO"/>
              </w:rPr>
              <w:t>B2: Îmbunătățirea transparenței în măsurile anticorupție în activitatea legislativă</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0.8</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0.8</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11.1</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2.6</w:t>
            </w:r>
          </w:p>
        </w:tc>
      </w:tr>
      <w:tr w:rsidR="0083787A" w:rsidRPr="0023087C" w:rsidTr="00205359">
        <w:tc>
          <w:tcPr>
            <w:tcW w:w="4410" w:type="dxa"/>
            <w:shd w:val="clear" w:color="auto" w:fill="D9D9D9" w:themeFill="background1" w:themeFillShade="D9"/>
          </w:tcPr>
          <w:p w:rsidR="0083787A" w:rsidRPr="0023087C" w:rsidRDefault="0083787A" w:rsidP="00205359">
            <w:pPr>
              <w:tabs>
                <w:tab w:val="left" w:pos="1152"/>
              </w:tabs>
              <w:rPr>
                <w:sz w:val="22"/>
                <w:szCs w:val="22"/>
                <w:lang w:val="ro-RO"/>
              </w:rPr>
            </w:pPr>
            <w:r w:rsidRPr="0023087C">
              <w:rPr>
                <w:b/>
                <w:sz w:val="22"/>
                <w:szCs w:val="22"/>
                <w:lang w:val="ro-RO"/>
              </w:rPr>
              <w:t>C. Curtea de Conturi (CdC) a Republicii Moldova (Instituția Supremă de Audit)</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30</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2.4</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30</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2.4</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33.3</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3.0</w:t>
            </w:r>
          </w:p>
        </w:tc>
        <w:tc>
          <w:tcPr>
            <w:tcW w:w="1152" w:type="dxa"/>
            <w:shd w:val="clear" w:color="auto" w:fill="D9D9D9" w:themeFill="background1" w:themeFillShade="D9"/>
            <w:vAlign w:val="center"/>
          </w:tcPr>
          <w:p w:rsidR="0083787A" w:rsidRPr="0023087C" w:rsidRDefault="0083787A" w:rsidP="00205359">
            <w:pPr>
              <w:jc w:val="center"/>
              <w:rPr>
                <w:b/>
                <w:sz w:val="22"/>
                <w:szCs w:val="22"/>
                <w:lang w:val="ro-RO"/>
              </w:rPr>
            </w:pPr>
            <w:r w:rsidRPr="0023087C">
              <w:rPr>
                <w:b/>
                <w:sz w:val="22"/>
                <w:szCs w:val="22"/>
                <w:lang w:val="ro-RO"/>
              </w:rPr>
              <w:t>7.8</w:t>
            </w:r>
          </w:p>
        </w:tc>
      </w:tr>
      <w:tr w:rsidR="0083787A" w:rsidRPr="0023087C" w:rsidTr="00205359">
        <w:tc>
          <w:tcPr>
            <w:tcW w:w="4410" w:type="dxa"/>
          </w:tcPr>
          <w:p w:rsidR="0083787A" w:rsidRPr="0023087C" w:rsidRDefault="0083787A" w:rsidP="00205359">
            <w:pPr>
              <w:tabs>
                <w:tab w:val="left" w:pos="1152"/>
              </w:tabs>
              <w:rPr>
                <w:sz w:val="22"/>
                <w:szCs w:val="22"/>
                <w:lang w:val="ro-RO"/>
              </w:rPr>
            </w:pPr>
            <w:r w:rsidRPr="0023087C">
              <w:rPr>
                <w:sz w:val="22"/>
                <w:szCs w:val="22"/>
                <w:lang w:val="ro-RO"/>
              </w:rPr>
              <w:t>C1: Îmbunătățirea efectivității auditului extern</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0.8</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0.8</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11.1</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2.6</w:t>
            </w:r>
          </w:p>
        </w:tc>
      </w:tr>
      <w:tr w:rsidR="0083787A" w:rsidRPr="0023087C" w:rsidTr="00205359">
        <w:tc>
          <w:tcPr>
            <w:tcW w:w="4410" w:type="dxa"/>
          </w:tcPr>
          <w:p w:rsidR="0083787A" w:rsidRPr="0023087C" w:rsidRDefault="0083787A" w:rsidP="00205359">
            <w:pPr>
              <w:rPr>
                <w:sz w:val="22"/>
                <w:szCs w:val="22"/>
                <w:lang w:val="ro-RO"/>
              </w:rPr>
            </w:pPr>
            <w:r w:rsidRPr="0023087C">
              <w:rPr>
                <w:sz w:val="22"/>
                <w:szCs w:val="22"/>
                <w:lang w:val="ro-RO"/>
              </w:rPr>
              <w:t>C2: Îmbunătățirea transparenței auditului extern și a managementului rezultatelor</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0.8</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0.8</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11.1</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2.6</w:t>
            </w:r>
          </w:p>
        </w:tc>
      </w:tr>
      <w:tr w:rsidR="0083787A" w:rsidRPr="0023087C" w:rsidTr="00205359">
        <w:tc>
          <w:tcPr>
            <w:tcW w:w="4410" w:type="dxa"/>
          </w:tcPr>
          <w:p w:rsidR="0083787A" w:rsidRPr="0023087C" w:rsidRDefault="0083787A" w:rsidP="00205359">
            <w:pPr>
              <w:rPr>
                <w:sz w:val="22"/>
                <w:szCs w:val="22"/>
                <w:lang w:val="ro-RO"/>
              </w:rPr>
            </w:pPr>
            <w:r w:rsidRPr="0023087C">
              <w:rPr>
                <w:sz w:val="22"/>
                <w:szCs w:val="22"/>
                <w:lang w:val="ro-RO"/>
              </w:rPr>
              <w:t>C3: Mărirea transparenței în activitățile anti-corupție ale CdC</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0.8</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0.8</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11.1</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1.0</w:t>
            </w:r>
          </w:p>
        </w:tc>
        <w:tc>
          <w:tcPr>
            <w:tcW w:w="1152" w:type="dxa"/>
            <w:vAlign w:val="center"/>
          </w:tcPr>
          <w:p w:rsidR="0083787A" w:rsidRPr="0023087C" w:rsidRDefault="0083787A" w:rsidP="00205359">
            <w:pPr>
              <w:jc w:val="center"/>
              <w:rPr>
                <w:sz w:val="22"/>
                <w:szCs w:val="22"/>
                <w:lang w:val="ro-RO"/>
              </w:rPr>
            </w:pPr>
            <w:r w:rsidRPr="0023087C">
              <w:rPr>
                <w:sz w:val="22"/>
                <w:szCs w:val="22"/>
                <w:lang w:val="ro-RO"/>
              </w:rPr>
              <w:t>2.6</w:t>
            </w:r>
          </w:p>
        </w:tc>
      </w:tr>
    </w:tbl>
    <w:p w:rsidR="0083787A" w:rsidRPr="0023087C" w:rsidRDefault="0083787A" w:rsidP="0083787A">
      <w:pPr>
        <w:rPr>
          <w:b/>
          <w:lang w:val="ro-RO"/>
        </w:rPr>
      </w:pPr>
    </w:p>
    <w:sectPr w:rsidR="0083787A" w:rsidRPr="0023087C" w:rsidSect="0083787A">
      <w:footerReference w:type="even" r:id="rId11"/>
      <w:footerReference w:type="default" r:id="rId12"/>
      <w:footerReference w:type="first" r:id="rId13"/>
      <w:pgSz w:w="15842" w:h="12242" w:orient="landscape" w:code="1"/>
      <w:pgMar w:top="1412" w:right="1412" w:bottom="1412" w:left="1253" w:header="720" w:footer="102"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D40" w:rsidRDefault="00D17D40">
      <w:r>
        <w:separator/>
      </w:r>
    </w:p>
  </w:endnote>
  <w:endnote w:type="continuationSeparator" w:id="0">
    <w:p w:rsidR="00D17D40" w:rsidRDefault="00D1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ragma_MonitorOficial">
    <w:altName w:val="Arial"/>
    <w:charset w:val="CC"/>
    <w:family w:val="swiss"/>
    <w:pitch w:val="variable"/>
    <w:sig w:usb0="00000000" w:usb1="00000000" w:usb2="00000000" w:usb3="00000000" w:csb0="000001A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63" w:rsidRDefault="00A47C45">
    <w:pPr>
      <w:pStyle w:val="a7"/>
      <w:framePr w:wrap="around" w:vAnchor="text" w:hAnchor="margin" w:xAlign="right" w:y="1"/>
      <w:rPr>
        <w:rStyle w:val="a9"/>
      </w:rPr>
    </w:pPr>
    <w:r>
      <w:rPr>
        <w:rStyle w:val="a9"/>
      </w:rPr>
      <w:fldChar w:fldCharType="begin"/>
    </w:r>
    <w:r w:rsidR="001A0263">
      <w:rPr>
        <w:rStyle w:val="a9"/>
      </w:rPr>
      <w:instrText xml:space="preserve">PAGE  </w:instrText>
    </w:r>
    <w:r>
      <w:rPr>
        <w:rStyle w:val="a9"/>
      </w:rPr>
      <w:fldChar w:fldCharType="end"/>
    </w:r>
  </w:p>
  <w:p w:rsidR="001A0263" w:rsidRDefault="001A026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63" w:rsidRDefault="00A47C45">
    <w:pPr>
      <w:pStyle w:val="a7"/>
      <w:framePr w:wrap="around" w:vAnchor="text" w:hAnchor="margin" w:xAlign="right" w:y="1"/>
      <w:rPr>
        <w:rStyle w:val="a9"/>
      </w:rPr>
    </w:pPr>
    <w:r>
      <w:rPr>
        <w:rStyle w:val="a9"/>
      </w:rPr>
      <w:fldChar w:fldCharType="begin"/>
    </w:r>
    <w:r w:rsidR="001A0263">
      <w:rPr>
        <w:rStyle w:val="a9"/>
      </w:rPr>
      <w:instrText xml:space="preserve">PAGE  </w:instrText>
    </w:r>
    <w:r>
      <w:rPr>
        <w:rStyle w:val="a9"/>
      </w:rPr>
      <w:fldChar w:fldCharType="separate"/>
    </w:r>
    <w:r w:rsidR="007F0AB0">
      <w:rPr>
        <w:rStyle w:val="a9"/>
        <w:noProof/>
      </w:rPr>
      <w:t>1</w:t>
    </w:r>
    <w:r>
      <w:rPr>
        <w:rStyle w:val="a9"/>
      </w:rPr>
      <w:fldChar w:fldCharType="end"/>
    </w:r>
  </w:p>
  <w:p w:rsidR="001A0263" w:rsidRPr="00864432" w:rsidRDefault="001A0263" w:rsidP="001A026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63" w:rsidRDefault="00A47C45">
    <w:pPr>
      <w:pStyle w:val="a7"/>
      <w:framePr w:wrap="around" w:vAnchor="text" w:hAnchor="margin" w:xAlign="right" w:y="1"/>
      <w:rPr>
        <w:rStyle w:val="a9"/>
      </w:rPr>
    </w:pPr>
    <w:r>
      <w:rPr>
        <w:rStyle w:val="a9"/>
      </w:rPr>
      <w:fldChar w:fldCharType="begin"/>
    </w:r>
    <w:r w:rsidR="001A0263">
      <w:rPr>
        <w:rStyle w:val="a9"/>
      </w:rPr>
      <w:instrText xml:space="preserve">PAGE  </w:instrText>
    </w:r>
    <w:r>
      <w:rPr>
        <w:rStyle w:val="a9"/>
      </w:rPr>
      <w:fldChar w:fldCharType="end"/>
    </w:r>
  </w:p>
  <w:p w:rsidR="001A0263" w:rsidRDefault="001A0263">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63" w:rsidRPr="00214242" w:rsidRDefault="00A47C45">
    <w:pPr>
      <w:pStyle w:val="a7"/>
      <w:framePr w:wrap="around" w:vAnchor="text" w:hAnchor="margin" w:xAlign="right" w:y="1"/>
      <w:rPr>
        <w:rStyle w:val="a9"/>
        <w:rFonts w:ascii="Times New Roman" w:hAnsi="Times New Roman"/>
        <w:sz w:val="20"/>
        <w:lang w:val="ro-MD"/>
      </w:rPr>
    </w:pPr>
    <w:r w:rsidRPr="00214242">
      <w:rPr>
        <w:rStyle w:val="a9"/>
        <w:rFonts w:ascii="Times New Roman" w:hAnsi="Times New Roman"/>
        <w:sz w:val="20"/>
        <w:lang w:val="ro-MD"/>
      </w:rPr>
      <w:fldChar w:fldCharType="begin"/>
    </w:r>
    <w:r w:rsidR="001A0263" w:rsidRPr="00214242">
      <w:rPr>
        <w:rStyle w:val="a9"/>
        <w:rFonts w:ascii="Times New Roman" w:hAnsi="Times New Roman"/>
        <w:sz w:val="20"/>
        <w:lang w:val="ro-MD"/>
      </w:rPr>
      <w:instrText xml:space="preserve">PAGE  </w:instrText>
    </w:r>
    <w:r w:rsidRPr="00214242">
      <w:rPr>
        <w:rStyle w:val="a9"/>
        <w:rFonts w:ascii="Times New Roman" w:hAnsi="Times New Roman"/>
        <w:sz w:val="20"/>
        <w:lang w:val="ro-MD"/>
      </w:rPr>
      <w:fldChar w:fldCharType="separate"/>
    </w:r>
    <w:r w:rsidR="007F0AB0">
      <w:rPr>
        <w:rStyle w:val="a9"/>
        <w:rFonts w:ascii="Times New Roman" w:hAnsi="Times New Roman"/>
        <w:noProof/>
        <w:sz w:val="20"/>
        <w:lang w:val="ro-MD"/>
      </w:rPr>
      <w:t>7</w:t>
    </w:r>
    <w:r w:rsidRPr="00214242">
      <w:rPr>
        <w:rStyle w:val="a9"/>
        <w:rFonts w:ascii="Times New Roman" w:hAnsi="Times New Roman"/>
        <w:sz w:val="20"/>
        <w:lang w:val="ro-MD"/>
      </w:rPr>
      <w:fldChar w:fldCharType="end"/>
    </w:r>
  </w:p>
  <w:p w:rsidR="001A0263" w:rsidRPr="00214242" w:rsidRDefault="001A0263" w:rsidP="00214242">
    <w:pPr>
      <w:pStyle w:val="a7"/>
      <w:ind w:right="360"/>
      <w:rPr>
        <w:rFonts w:ascii="Times New Roman" w:hAnsi="Times New Roman"/>
        <w:sz w:val="20"/>
        <w:lang w:val="ro-M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63" w:rsidRPr="006B44B9" w:rsidRDefault="001A0263">
    <w:pPr>
      <w:pStyle w:val="a7"/>
      <w:rPr>
        <w:rFonts w:ascii="Times New Roman" w:hAnsi="Times New Roman"/>
        <w:sz w:val="20"/>
        <w:lang w:val="fr-BE"/>
      </w:rPr>
    </w:pPr>
    <w:r>
      <w:rPr>
        <w:rFonts w:ascii="Times New Roman" w:hAnsi="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D40" w:rsidRDefault="00D17D40">
      <w:r>
        <w:separator/>
      </w:r>
    </w:p>
  </w:footnote>
  <w:footnote w:type="continuationSeparator" w:id="0">
    <w:p w:rsidR="00D17D40" w:rsidRDefault="00D17D40">
      <w:r>
        <w:continuationSeparator/>
      </w:r>
    </w:p>
  </w:footnote>
  <w:footnote w:id="1">
    <w:p w:rsidR="001A0263" w:rsidRPr="00360A95" w:rsidRDefault="001A0263" w:rsidP="001A0263">
      <w:pPr>
        <w:pStyle w:val="aa"/>
        <w:rPr>
          <w:lang w:val="ro-RO"/>
        </w:rPr>
      </w:pPr>
      <w:r>
        <w:rPr>
          <w:rStyle w:val="ac"/>
        </w:rPr>
        <w:footnoteRef/>
      </w:r>
      <w:r>
        <w:t xml:space="preserve"> </w:t>
      </w:r>
      <w:r w:rsidRPr="0023576D">
        <w:rPr>
          <w:sz w:val="18"/>
          <w:szCs w:val="18"/>
          <w:lang w:val="en-GB"/>
        </w:rPr>
        <w:t>Government Decree N 12 of the 19</w:t>
      </w:r>
      <w:r w:rsidRPr="0023576D">
        <w:rPr>
          <w:sz w:val="18"/>
          <w:szCs w:val="18"/>
          <w:vertAlign w:val="superscript"/>
          <w:lang w:val="en-GB"/>
        </w:rPr>
        <w:t>th</w:t>
      </w:r>
      <w:r w:rsidRPr="0023576D">
        <w:rPr>
          <w:sz w:val="18"/>
          <w:szCs w:val="18"/>
          <w:lang w:val="en-GB"/>
        </w:rPr>
        <w:t xml:space="preserve"> of January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63" w:rsidRDefault="001A0263">
    <w:pPr>
      <w:pStyle w:val="ad"/>
      <w:jc w:val="right"/>
      <w:rPr>
        <w:b/>
        <w:i/>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A2EA382"/>
    <w:lvl w:ilvl="0">
      <w:start w:val="1"/>
      <w:numFmt w:val="decimal"/>
      <w:lvlText w:val="%1."/>
      <w:lvlJc w:val="left"/>
      <w:pPr>
        <w:tabs>
          <w:tab w:val="num" w:pos="643"/>
        </w:tabs>
        <w:ind w:left="643" w:hanging="360"/>
      </w:pPr>
    </w:lvl>
  </w:abstractNum>
  <w:abstractNum w:abstractNumId="1">
    <w:nsid w:val="0000001B"/>
    <w:multiLevelType w:val="singleLevel"/>
    <w:tmpl w:val="0000001B"/>
    <w:name w:val="WW8Num106"/>
    <w:lvl w:ilvl="0">
      <w:start w:val="1"/>
      <w:numFmt w:val="bullet"/>
      <w:lvlText w:val="Ø"/>
      <w:lvlJc w:val="left"/>
      <w:pPr>
        <w:tabs>
          <w:tab w:val="num" w:pos="360"/>
        </w:tabs>
        <w:ind w:left="360" w:hanging="360"/>
      </w:pPr>
      <w:rPr>
        <w:rFonts w:ascii="Wingdings" w:hAnsi="Wingdings"/>
      </w:rPr>
    </w:lvl>
  </w:abstractNum>
  <w:abstractNum w:abstractNumId="2">
    <w:nsid w:val="0000001E"/>
    <w:multiLevelType w:val="multilevel"/>
    <w:tmpl w:val="0000001E"/>
    <w:name w:val="WW8Num115"/>
    <w:lvl w:ilvl="0">
      <w:numFmt w:val="bullet"/>
      <w:lvlText w:val="Ø"/>
      <w:lvlJc w:val="left"/>
      <w:pPr>
        <w:tabs>
          <w:tab w:val="num" w:pos="624"/>
        </w:tabs>
        <w:ind w:left="624" w:hanging="511"/>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957CC0"/>
    <w:multiLevelType w:val="hybridMultilevel"/>
    <w:tmpl w:val="4EF09F54"/>
    <w:lvl w:ilvl="0" w:tplc="E66EBE58">
      <w:start w:val="1"/>
      <w:numFmt w:val="lowerRoman"/>
      <w:lvlText w:val="%1) "/>
      <w:lvlJc w:val="left"/>
      <w:pPr>
        <w:ind w:left="720" w:hanging="360"/>
      </w:pPr>
      <w:rPr>
        <w:rFonts w:hint="default"/>
      </w:rPr>
    </w:lvl>
    <w:lvl w:ilvl="1" w:tplc="07500646" w:tentative="1">
      <w:start w:val="1"/>
      <w:numFmt w:val="bullet"/>
      <w:lvlText w:val="o"/>
      <w:lvlJc w:val="left"/>
      <w:pPr>
        <w:ind w:left="1440" w:hanging="360"/>
      </w:pPr>
      <w:rPr>
        <w:rFonts w:ascii="Courier New" w:hAnsi="Courier New" w:cs="Courier New" w:hint="default"/>
      </w:rPr>
    </w:lvl>
    <w:lvl w:ilvl="2" w:tplc="2E12CB12" w:tentative="1">
      <w:start w:val="1"/>
      <w:numFmt w:val="bullet"/>
      <w:lvlText w:val=""/>
      <w:lvlJc w:val="left"/>
      <w:pPr>
        <w:ind w:left="2160" w:hanging="360"/>
      </w:pPr>
      <w:rPr>
        <w:rFonts w:ascii="Wingdings" w:hAnsi="Wingdings" w:hint="default"/>
      </w:rPr>
    </w:lvl>
    <w:lvl w:ilvl="3" w:tplc="30C07FA4" w:tentative="1">
      <w:start w:val="1"/>
      <w:numFmt w:val="bullet"/>
      <w:lvlText w:val=""/>
      <w:lvlJc w:val="left"/>
      <w:pPr>
        <w:ind w:left="2880" w:hanging="360"/>
      </w:pPr>
      <w:rPr>
        <w:rFonts w:ascii="Symbol" w:hAnsi="Symbol" w:hint="default"/>
      </w:rPr>
    </w:lvl>
    <w:lvl w:ilvl="4" w:tplc="3F2282E8" w:tentative="1">
      <w:start w:val="1"/>
      <w:numFmt w:val="bullet"/>
      <w:lvlText w:val="o"/>
      <w:lvlJc w:val="left"/>
      <w:pPr>
        <w:ind w:left="3600" w:hanging="360"/>
      </w:pPr>
      <w:rPr>
        <w:rFonts w:ascii="Courier New" w:hAnsi="Courier New" w:cs="Courier New" w:hint="default"/>
      </w:rPr>
    </w:lvl>
    <w:lvl w:ilvl="5" w:tplc="A78632CE" w:tentative="1">
      <w:start w:val="1"/>
      <w:numFmt w:val="bullet"/>
      <w:lvlText w:val=""/>
      <w:lvlJc w:val="left"/>
      <w:pPr>
        <w:ind w:left="4320" w:hanging="360"/>
      </w:pPr>
      <w:rPr>
        <w:rFonts w:ascii="Wingdings" w:hAnsi="Wingdings" w:hint="default"/>
      </w:rPr>
    </w:lvl>
    <w:lvl w:ilvl="6" w:tplc="96DCDCC6" w:tentative="1">
      <w:start w:val="1"/>
      <w:numFmt w:val="bullet"/>
      <w:lvlText w:val=""/>
      <w:lvlJc w:val="left"/>
      <w:pPr>
        <w:ind w:left="5040" w:hanging="360"/>
      </w:pPr>
      <w:rPr>
        <w:rFonts w:ascii="Symbol" w:hAnsi="Symbol" w:hint="default"/>
      </w:rPr>
    </w:lvl>
    <w:lvl w:ilvl="7" w:tplc="44284820" w:tentative="1">
      <w:start w:val="1"/>
      <w:numFmt w:val="bullet"/>
      <w:lvlText w:val="o"/>
      <w:lvlJc w:val="left"/>
      <w:pPr>
        <w:ind w:left="5760" w:hanging="360"/>
      </w:pPr>
      <w:rPr>
        <w:rFonts w:ascii="Courier New" w:hAnsi="Courier New" w:cs="Courier New" w:hint="default"/>
      </w:rPr>
    </w:lvl>
    <w:lvl w:ilvl="8" w:tplc="5330E21A" w:tentative="1">
      <w:start w:val="1"/>
      <w:numFmt w:val="bullet"/>
      <w:lvlText w:val=""/>
      <w:lvlJc w:val="left"/>
      <w:pPr>
        <w:ind w:left="6480" w:hanging="360"/>
      </w:pPr>
      <w:rPr>
        <w:rFonts w:ascii="Wingdings" w:hAnsi="Wingdings" w:hint="default"/>
      </w:rPr>
    </w:lvl>
  </w:abstractNum>
  <w:abstractNum w:abstractNumId="4">
    <w:nsid w:val="01582E5B"/>
    <w:multiLevelType w:val="hybridMultilevel"/>
    <w:tmpl w:val="21C8547C"/>
    <w:lvl w:ilvl="0" w:tplc="3384DD9E">
      <w:start w:val="1"/>
      <w:numFmt w:val="bullet"/>
      <w:lvlText w:val=""/>
      <w:lvlJc w:val="left"/>
      <w:pPr>
        <w:ind w:left="72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C1621C"/>
    <w:multiLevelType w:val="hybridMultilevel"/>
    <w:tmpl w:val="18B65572"/>
    <w:lvl w:ilvl="0" w:tplc="0809001B">
      <w:start w:val="1"/>
      <w:numFmt w:val="lowerRoman"/>
      <w:lvlText w:val="%1."/>
      <w:lvlJc w:val="right"/>
      <w:pPr>
        <w:tabs>
          <w:tab w:val="num" w:pos="1429"/>
        </w:tabs>
        <w:ind w:left="1429" w:hanging="360"/>
      </w:pPr>
      <w:rPr>
        <w:rFonts w:cs="Times New Roman"/>
      </w:rPr>
    </w:lvl>
    <w:lvl w:ilvl="1" w:tplc="08090019" w:tentative="1">
      <w:start w:val="1"/>
      <w:numFmt w:val="lowerLetter"/>
      <w:lvlText w:val="%2."/>
      <w:lvlJc w:val="left"/>
      <w:pPr>
        <w:tabs>
          <w:tab w:val="num" w:pos="2149"/>
        </w:tabs>
        <w:ind w:left="2149" w:hanging="360"/>
      </w:pPr>
      <w:rPr>
        <w:rFonts w:cs="Times New Roman"/>
      </w:rPr>
    </w:lvl>
    <w:lvl w:ilvl="2" w:tplc="0809001B" w:tentative="1">
      <w:start w:val="1"/>
      <w:numFmt w:val="lowerRoman"/>
      <w:lvlText w:val="%3."/>
      <w:lvlJc w:val="right"/>
      <w:pPr>
        <w:tabs>
          <w:tab w:val="num" w:pos="2869"/>
        </w:tabs>
        <w:ind w:left="2869" w:hanging="180"/>
      </w:pPr>
      <w:rPr>
        <w:rFonts w:cs="Times New Roman"/>
      </w:rPr>
    </w:lvl>
    <w:lvl w:ilvl="3" w:tplc="0809000F" w:tentative="1">
      <w:start w:val="1"/>
      <w:numFmt w:val="decimal"/>
      <w:lvlText w:val="%4."/>
      <w:lvlJc w:val="left"/>
      <w:pPr>
        <w:tabs>
          <w:tab w:val="num" w:pos="3589"/>
        </w:tabs>
        <w:ind w:left="3589" w:hanging="360"/>
      </w:pPr>
      <w:rPr>
        <w:rFonts w:cs="Times New Roman"/>
      </w:rPr>
    </w:lvl>
    <w:lvl w:ilvl="4" w:tplc="08090019" w:tentative="1">
      <w:start w:val="1"/>
      <w:numFmt w:val="lowerLetter"/>
      <w:lvlText w:val="%5."/>
      <w:lvlJc w:val="left"/>
      <w:pPr>
        <w:tabs>
          <w:tab w:val="num" w:pos="4309"/>
        </w:tabs>
        <w:ind w:left="4309" w:hanging="360"/>
      </w:pPr>
      <w:rPr>
        <w:rFonts w:cs="Times New Roman"/>
      </w:rPr>
    </w:lvl>
    <w:lvl w:ilvl="5" w:tplc="0809001B" w:tentative="1">
      <w:start w:val="1"/>
      <w:numFmt w:val="lowerRoman"/>
      <w:lvlText w:val="%6."/>
      <w:lvlJc w:val="right"/>
      <w:pPr>
        <w:tabs>
          <w:tab w:val="num" w:pos="5029"/>
        </w:tabs>
        <w:ind w:left="5029" w:hanging="180"/>
      </w:pPr>
      <w:rPr>
        <w:rFonts w:cs="Times New Roman"/>
      </w:rPr>
    </w:lvl>
    <w:lvl w:ilvl="6" w:tplc="0809000F" w:tentative="1">
      <w:start w:val="1"/>
      <w:numFmt w:val="decimal"/>
      <w:lvlText w:val="%7."/>
      <w:lvlJc w:val="left"/>
      <w:pPr>
        <w:tabs>
          <w:tab w:val="num" w:pos="5749"/>
        </w:tabs>
        <w:ind w:left="5749" w:hanging="360"/>
      </w:pPr>
      <w:rPr>
        <w:rFonts w:cs="Times New Roman"/>
      </w:rPr>
    </w:lvl>
    <w:lvl w:ilvl="7" w:tplc="08090019" w:tentative="1">
      <w:start w:val="1"/>
      <w:numFmt w:val="lowerLetter"/>
      <w:lvlText w:val="%8."/>
      <w:lvlJc w:val="left"/>
      <w:pPr>
        <w:tabs>
          <w:tab w:val="num" w:pos="6469"/>
        </w:tabs>
        <w:ind w:left="6469" w:hanging="360"/>
      </w:pPr>
      <w:rPr>
        <w:rFonts w:cs="Times New Roman"/>
      </w:rPr>
    </w:lvl>
    <w:lvl w:ilvl="8" w:tplc="0809001B" w:tentative="1">
      <w:start w:val="1"/>
      <w:numFmt w:val="lowerRoman"/>
      <w:lvlText w:val="%9."/>
      <w:lvlJc w:val="right"/>
      <w:pPr>
        <w:tabs>
          <w:tab w:val="num" w:pos="7189"/>
        </w:tabs>
        <w:ind w:left="7189" w:hanging="180"/>
      </w:pPr>
      <w:rPr>
        <w:rFonts w:cs="Times New Roman"/>
      </w:rPr>
    </w:lvl>
  </w:abstractNum>
  <w:abstractNum w:abstractNumId="6">
    <w:nsid w:val="068B42F4"/>
    <w:multiLevelType w:val="hybridMultilevel"/>
    <w:tmpl w:val="5E30EE20"/>
    <w:lvl w:ilvl="0" w:tplc="61AA30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E02917"/>
    <w:multiLevelType w:val="hybridMultilevel"/>
    <w:tmpl w:val="06485B4C"/>
    <w:lvl w:ilvl="0" w:tplc="3384DD9E">
      <w:start w:val="1"/>
      <w:numFmt w:val="bullet"/>
      <w:lvlText w:val=""/>
      <w:lvlJc w:val="left"/>
      <w:pPr>
        <w:ind w:left="72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C97A5B"/>
    <w:multiLevelType w:val="multilevel"/>
    <w:tmpl w:val="9F62F3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1674749"/>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5D072CE"/>
    <w:multiLevelType w:val="hybridMultilevel"/>
    <w:tmpl w:val="1736F374"/>
    <w:lvl w:ilvl="0" w:tplc="3384DD9E">
      <w:start w:val="1"/>
      <w:numFmt w:val="bullet"/>
      <w:lvlText w:val=""/>
      <w:lvlJc w:val="left"/>
      <w:pPr>
        <w:ind w:left="72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F8500F"/>
    <w:multiLevelType w:val="hybridMultilevel"/>
    <w:tmpl w:val="0D282D9E"/>
    <w:lvl w:ilvl="0" w:tplc="314EFCC4">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4B0C7C"/>
    <w:multiLevelType w:val="hybridMultilevel"/>
    <w:tmpl w:val="27400F90"/>
    <w:lvl w:ilvl="0" w:tplc="6A0E089A">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3">
    <w:nsid w:val="1988311A"/>
    <w:multiLevelType w:val="hybridMultilevel"/>
    <w:tmpl w:val="8D6E181A"/>
    <w:lvl w:ilvl="0" w:tplc="7D48BF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327E18"/>
    <w:multiLevelType w:val="hybridMultilevel"/>
    <w:tmpl w:val="BC92C2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ED21713"/>
    <w:multiLevelType w:val="hybridMultilevel"/>
    <w:tmpl w:val="C7CC7492"/>
    <w:lvl w:ilvl="0" w:tplc="3384DD9E">
      <w:start w:val="1"/>
      <w:numFmt w:val="bullet"/>
      <w:lvlText w:val=""/>
      <w:lvlJc w:val="left"/>
      <w:pPr>
        <w:ind w:left="72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237FEF"/>
    <w:multiLevelType w:val="hybridMultilevel"/>
    <w:tmpl w:val="72160EB2"/>
    <w:lvl w:ilvl="0" w:tplc="3384DD9E">
      <w:start w:val="1"/>
      <w:numFmt w:val="bullet"/>
      <w:lvlText w:val=""/>
      <w:lvlJc w:val="left"/>
      <w:pPr>
        <w:ind w:left="720" w:hanging="360"/>
      </w:pPr>
      <w:rPr>
        <w:rFonts w:ascii="Symbol" w:hAnsi="Symbol"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43703E5"/>
    <w:multiLevelType w:val="hybridMultilevel"/>
    <w:tmpl w:val="3176C6B6"/>
    <w:lvl w:ilvl="0" w:tplc="3384DD9E">
      <w:start w:val="1"/>
      <w:numFmt w:val="bullet"/>
      <w:lvlText w:val=""/>
      <w:lvlJc w:val="left"/>
      <w:pPr>
        <w:ind w:left="720" w:hanging="360"/>
      </w:pPr>
      <w:rPr>
        <w:rFonts w:ascii="Symbol" w:hAnsi="Symbol" w:cs="Times New Roman" w:hint="default"/>
      </w:rPr>
    </w:lvl>
    <w:lvl w:ilvl="1" w:tplc="07500646" w:tentative="1">
      <w:start w:val="1"/>
      <w:numFmt w:val="bullet"/>
      <w:lvlText w:val="o"/>
      <w:lvlJc w:val="left"/>
      <w:pPr>
        <w:ind w:left="1440" w:hanging="360"/>
      </w:pPr>
      <w:rPr>
        <w:rFonts w:ascii="Courier New" w:hAnsi="Courier New" w:cs="Courier New" w:hint="default"/>
      </w:rPr>
    </w:lvl>
    <w:lvl w:ilvl="2" w:tplc="2E12CB12" w:tentative="1">
      <w:start w:val="1"/>
      <w:numFmt w:val="bullet"/>
      <w:lvlText w:val=""/>
      <w:lvlJc w:val="left"/>
      <w:pPr>
        <w:ind w:left="2160" w:hanging="360"/>
      </w:pPr>
      <w:rPr>
        <w:rFonts w:ascii="Wingdings" w:hAnsi="Wingdings" w:hint="default"/>
      </w:rPr>
    </w:lvl>
    <w:lvl w:ilvl="3" w:tplc="30C07FA4" w:tentative="1">
      <w:start w:val="1"/>
      <w:numFmt w:val="bullet"/>
      <w:lvlText w:val=""/>
      <w:lvlJc w:val="left"/>
      <w:pPr>
        <w:ind w:left="2880" w:hanging="360"/>
      </w:pPr>
      <w:rPr>
        <w:rFonts w:ascii="Symbol" w:hAnsi="Symbol" w:hint="default"/>
      </w:rPr>
    </w:lvl>
    <w:lvl w:ilvl="4" w:tplc="3F2282E8" w:tentative="1">
      <w:start w:val="1"/>
      <w:numFmt w:val="bullet"/>
      <w:lvlText w:val="o"/>
      <w:lvlJc w:val="left"/>
      <w:pPr>
        <w:ind w:left="3600" w:hanging="360"/>
      </w:pPr>
      <w:rPr>
        <w:rFonts w:ascii="Courier New" w:hAnsi="Courier New" w:cs="Courier New" w:hint="default"/>
      </w:rPr>
    </w:lvl>
    <w:lvl w:ilvl="5" w:tplc="A78632CE" w:tentative="1">
      <w:start w:val="1"/>
      <w:numFmt w:val="bullet"/>
      <w:lvlText w:val=""/>
      <w:lvlJc w:val="left"/>
      <w:pPr>
        <w:ind w:left="4320" w:hanging="360"/>
      </w:pPr>
      <w:rPr>
        <w:rFonts w:ascii="Wingdings" w:hAnsi="Wingdings" w:hint="default"/>
      </w:rPr>
    </w:lvl>
    <w:lvl w:ilvl="6" w:tplc="96DCDCC6" w:tentative="1">
      <w:start w:val="1"/>
      <w:numFmt w:val="bullet"/>
      <w:lvlText w:val=""/>
      <w:lvlJc w:val="left"/>
      <w:pPr>
        <w:ind w:left="5040" w:hanging="360"/>
      </w:pPr>
      <w:rPr>
        <w:rFonts w:ascii="Symbol" w:hAnsi="Symbol" w:hint="default"/>
      </w:rPr>
    </w:lvl>
    <w:lvl w:ilvl="7" w:tplc="44284820" w:tentative="1">
      <w:start w:val="1"/>
      <w:numFmt w:val="bullet"/>
      <w:lvlText w:val="o"/>
      <w:lvlJc w:val="left"/>
      <w:pPr>
        <w:ind w:left="5760" w:hanging="360"/>
      </w:pPr>
      <w:rPr>
        <w:rFonts w:ascii="Courier New" w:hAnsi="Courier New" w:cs="Courier New" w:hint="default"/>
      </w:rPr>
    </w:lvl>
    <w:lvl w:ilvl="8" w:tplc="5330E21A" w:tentative="1">
      <w:start w:val="1"/>
      <w:numFmt w:val="bullet"/>
      <w:lvlText w:val=""/>
      <w:lvlJc w:val="left"/>
      <w:pPr>
        <w:ind w:left="6480" w:hanging="360"/>
      </w:pPr>
      <w:rPr>
        <w:rFonts w:ascii="Wingdings" w:hAnsi="Wingdings" w:hint="default"/>
      </w:rPr>
    </w:lvl>
  </w:abstractNum>
  <w:abstractNum w:abstractNumId="18">
    <w:nsid w:val="332850B7"/>
    <w:multiLevelType w:val="hybridMultilevel"/>
    <w:tmpl w:val="7618D70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nsid w:val="340E4248"/>
    <w:multiLevelType w:val="hybridMultilevel"/>
    <w:tmpl w:val="A900E888"/>
    <w:lvl w:ilvl="0" w:tplc="7062ED18">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EE38E8"/>
    <w:multiLevelType w:val="hybridMultilevel"/>
    <w:tmpl w:val="3B86D84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nsid w:val="3A2C7AF5"/>
    <w:multiLevelType w:val="hybridMultilevel"/>
    <w:tmpl w:val="AB6AA04A"/>
    <w:lvl w:ilvl="0" w:tplc="3384DD9E">
      <w:start w:val="1"/>
      <w:numFmt w:val="bullet"/>
      <w:lvlText w:val=""/>
      <w:lvlJc w:val="left"/>
      <w:pPr>
        <w:ind w:left="1352"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BA16A3"/>
    <w:multiLevelType w:val="multilevel"/>
    <w:tmpl w:val="04090017"/>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3514D3"/>
    <w:multiLevelType w:val="hybridMultilevel"/>
    <w:tmpl w:val="2F9E4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446058E"/>
    <w:multiLevelType w:val="hybridMultilevel"/>
    <w:tmpl w:val="95EA9BB4"/>
    <w:lvl w:ilvl="0" w:tplc="314EFCC4">
      <w:numFmt w:val="bullet"/>
      <w:lvlText w:val="-"/>
      <w:lvlJc w:val="left"/>
      <w:pPr>
        <w:tabs>
          <w:tab w:val="num" w:pos="720"/>
        </w:tabs>
        <w:ind w:left="720" w:hanging="360"/>
      </w:pPr>
      <w:rPr>
        <w:rFonts w:ascii="Times New Roman" w:eastAsia="Times New Roman" w:hAnsi="Times New Roman" w:hint="default"/>
        <w: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49A0C72"/>
    <w:multiLevelType w:val="hybridMultilevel"/>
    <w:tmpl w:val="805011DA"/>
    <w:lvl w:ilvl="0" w:tplc="44668F46">
      <w:start w:val="1"/>
      <w:numFmt w:val="lowerLetter"/>
      <w:lvlText w:val="(%1)"/>
      <w:lvlJc w:val="left"/>
      <w:pPr>
        <w:ind w:left="1080" w:hanging="360"/>
      </w:pPr>
      <w:rPr>
        <w:rFonts w:hint="default"/>
      </w:rPr>
    </w:lvl>
    <w:lvl w:ilvl="1" w:tplc="0556388C" w:tentative="1">
      <w:start w:val="1"/>
      <w:numFmt w:val="lowerLetter"/>
      <w:lvlText w:val="%2."/>
      <w:lvlJc w:val="left"/>
      <w:pPr>
        <w:ind w:left="1800" w:hanging="360"/>
      </w:pPr>
    </w:lvl>
    <w:lvl w:ilvl="2" w:tplc="9E16555E" w:tentative="1">
      <w:start w:val="1"/>
      <w:numFmt w:val="lowerRoman"/>
      <w:lvlText w:val="%3."/>
      <w:lvlJc w:val="right"/>
      <w:pPr>
        <w:ind w:left="2520" w:hanging="180"/>
      </w:pPr>
    </w:lvl>
    <w:lvl w:ilvl="3" w:tplc="8F4E15B4" w:tentative="1">
      <w:start w:val="1"/>
      <w:numFmt w:val="decimal"/>
      <w:lvlText w:val="%4."/>
      <w:lvlJc w:val="left"/>
      <w:pPr>
        <w:ind w:left="3240" w:hanging="360"/>
      </w:pPr>
    </w:lvl>
    <w:lvl w:ilvl="4" w:tplc="E6BA0FD2" w:tentative="1">
      <w:start w:val="1"/>
      <w:numFmt w:val="lowerLetter"/>
      <w:lvlText w:val="%5."/>
      <w:lvlJc w:val="left"/>
      <w:pPr>
        <w:ind w:left="3960" w:hanging="360"/>
      </w:pPr>
    </w:lvl>
    <w:lvl w:ilvl="5" w:tplc="5AB8B418" w:tentative="1">
      <w:start w:val="1"/>
      <w:numFmt w:val="lowerRoman"/>
      <w:lvlText w:val="%6."/>
      <w:lvlJc w:val="right"/>
      <w:pPr>
        <w:ind w:left="4680" w:hanging="180"/>
      </w:pPr>
    </w:lvl>
    <w:lvl w:ilvl="6" w:tplc="A3DCDB18" w:tentative="1">
      <w:start w:val="1"/>
      <w:numFmt w:val="decimal"/>
      <w:lvlText w:val="%7."/>
      <w:lvlJc w:val="left"/>
      <w:pPr>
        <w:ind w:left="5400" w:hanging="360"/>
      </w:pPr>
    </w:lvl>
    <w:lvl w:ilvl="7" w:tplc="E668C8F6" w:tentative="1">
      <w:start w:val="1"/>
      <w:numFmt w:val="lowerLetter"/>
      <w:lvlText w:val="%8."/>
      <w:lvlJc w:val="left"/>
      <w:pPr>
        <w:ind w:left="6120" w:hanging="360"/>
      </w:pPr>
    </w:lvl>
    <w:lvl w:ilvl="8" w:tplc="317A5F24" w:tentative="1">
      <w:start w:val="1"/>
      <w:numFmt w:val="lowerRoman"/>
      <w:lvlText w:val="%9."/>
      <w:lvlJc w:val="right"/>
      <w:pPr>
        <w:ind w:left="6840" w:hanging="180"/>
      </w:pPr>
    </w:lvl>
  </w:abstractNum>
  <w:abstractNum w:abstractNumId="26">
    <w:nsid w:val="484C4CFF"/>
    <w:multiLevelType w:val="multilevel"/>
    <w:tmpl w:val="08090023"/>
    <w:styleLink w:val="a"/>
    <w:lvl w:ilvl="0">
      <w:start w:val="1"/>
      <w:numFmt w:val="none"/>
      <w:lvlText w:val="%1"/>
      <w:lvlJc w:val="left"/>
      <w:pPr>
        <w:tabs>
          <w:tab w:val="num" w:pos="1440"/>
        </w:tabs>
      </w:pPr>
      <w:rPr>
        <w:rFonts w:ascii="Times New Roman" w:hAnsi="Times New Roman" w:cs="Times New Roman" w:hint="default"/>
        <w:color w:val="auto"/>
        <w:sz w:val="24"/>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nsid w:val="492C6AE3"/>
    <w:multiLevelType w:val="hybridMultilevel"/>
    <w:tmpl w:val="533EF3D2"/>
    <w:lvl w:ilvl="0" w:tplc="04090001">
      <w:start w:val="1"/>
      <w:numFmt w:val="lowerRoman"/>
      <w:lvlText w:val="%1)"/>
      <w:lvlJc w:val="left"/>
      <w:pPr>
        <w:ind w:left="720" w:hanging="720"/>
      </w:pPr>
      <w:rPr>
        <w:rFonts w:hint="default"/>
        <w:b/>
      </w:rPr>
    </w:lvl>
    <w:lvl w:ilvl="1" w:tplc="08090003">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28">
    <w:nsid w:val="4A557394"/>
    <w:multiLevelType w:val="hybridMultilevel"/>
    <w:tmpl w:val="A58EA72C"/>
    <w:lvl w:ilvl="0" w:tplc="314EFCC4">
      <w:numFmt w:val="bullet"/>
      <w:lvlText w:val="-"/>
      <w:lvlJc w:val="left"/>
      <w:pPr>
        <w:ind w:left="360" w:hanging="360"/>
      </w:pPr>
      <w:rPr>
        <w:rFonts w:ascii="Times New Roman" w:eastAsia="Times New Roman" w:hAnsi="Times New Roman"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A8F173A"/>
    <w:multiLevelType w:val="hybridMultilevel"/>
    <w:tmpl w:val="993032D8"/>
    <w:lvl w:ilvl="0" w:tplc="3384DD9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0C058A"/>
    <w:multiLevelType w:val="singleLevel"/>
    <w:tmpl w:val="BAE8D90E"/>
    <w:name w:val="NumPar"/>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1">
    <w:nsid w:val="4DDA71BD"/>
    <w:multiLevelType w:val="hybridMultilevel"/>
    <w:tmpl w:val="72D60890"/>
    <w:lvl w:ilvl="0" w:tplc="314EFCC4">
      <w:numFmt w:val="bullet"/>
      <w:lvlText w:val="-"/>
      <w:lvlJc w:val="left"/>
      <w:pPr>
        <w:ind w:left="360" w:hanging="360"/>
      </w:pPr>
      <w:rPr>
        <w:rFonts w:ascii="Times New Roman" w:eastAsia="Times New Roman" w:hAnsi="Times New Roman"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1CF4877"/>
    <w:multiLevelType w:val="hybridMultilevel"/>
    <w:tmpl w:val="954618E8"/>
    <w:lvl w:ilvl="0" w:tplc="08090017">
      <w:start w:val="1"/>
      <w:numFmt w:val="lowerLetter"/>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3">
    <w:nsid w:val="5BFA5275"/>
    <w:multiLevelType w:val="hybridMultilevel"/>
    <w:tmpl w:val="3C28587C"/>
    <w:lvl w:ilvl="0" w:tplc="7D48BF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994650"/>
    <w:multiLevelType w:val="hybridMultilevel"/>
    <w:tmpl w:val="3B86D840"/>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5">
    <w:nsid w:val="66CE3AA6"/>
    <w:multiLevelType w:val="multilevel"/>
    <w:tmpl w:val="191CCB7E"/>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A0E5BC1"/>
    <w:multiLevelType w:val="hybridMultilevel"/>
    <w:tmpl w:val="A8566702"/>
    <w:lvl w:ilvl="0" w:tplc="FFFFFFFF">
      <w:start w:val="1"/>
      <w:numFmt w:val="lowerRoman"/>
      <w:lvlText w:val="%1."/>
      <w:lvlJc w:val="righ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7">
    <w:nsid w:val="6AC263C9"/>
    <w:multiLevelType w:val="hybridMultilevel"/>
    <w:tmpl w:val="B6CAE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D065439"/>
    <w:multiLevelType w:val="multilevel"/>
    <w:tmpl w:val="030E900A"/>
    <w:lvl w:ilvl="0">
      <w:start w:val="1"/>
      <w:numFmt w:val="decimal"/>
      <w:pStyle w:val="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6F183BF5"/>
    <w:multiLevelType w:val="multilevel"/>
    <w:tmpl w:val="6B0C2D6C"/>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706B1660"/>
    <w:multiLevelType w:val="multilevel"/>
    <w:tmpl w:val="9B7EA36E"/>
    <w:name w:val="Tiret 4"/>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b/>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74CA3D43"/>
    <w:multiLevelType w:val="multilevel"/>
    <w:tmpl w:val="EFE4A31E"/>
    <w:name w:val="List Bullet 3"/>
    <w:lvl w:ilvl="0">
      <w:start w:val="1"/>
      <w:numFmt w:val="decimal"/>
      <w:lvlRestart w:val="0"/>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6A15306"/>
    <w:multiLevelType w:val="multilevel"/>
    <w:tmpl w:val="32E2759E"/>
    <w:name w:val="List Number 1__1"/>
    <w:lvl w:ilvl="0">
      <w:start w:val="1"/>
      <w:numFmt w:val="decimal"/>
      <w:lvlRestart w:val="0"/>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78738CF"/>
    <w:multiLevelType w:val="multilevel"/>
    <w:tmpl w:val="B6CAE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A431C55"/>
    <w:multiLevelType w:val="hybridMultilevel"/>
    <w:tmpl w:val="A15A780C"/>
    <w:lvl w:ilvl="0" w:tplc="B8FE9E40">
      <w:start w:val="1"/>
      <w:numFmt w:val="lowerLetter"/>
      <w:lvlText w:val="(%1)"/>
      <w:lvlJc w:val="left"/>
      <w:pPr>
        <w:ind w:left="1065" w:hanging="360"/>
      </w:pPr>
      <w:rPr>
        <w:rFonts w:hint="default"/>
      </w:rPr>
    </w:lvl>
    <w:lvl w:ilvl="1" w:tplc="85C42CB2" w:tentative="1">
      <w:start w:val="1"/>
      <w:numFmt w:val="lowerLetter"/>
      <w:lvlText w:val="%2."/>
      <w:lvlJc w:val="left"/>
      <w:pPr>
        <w:ind w:left="1785" w:hanging="360"/>
      </w:pPr>
    </w:lvl>
    <w:lvl w:ilvl="2" w:tplc="FBE41566" w:tentative="1">
      <w:start w:val="1"/>
      <w:numFmt w:val="lowerRoman"/>
      <w:lvlText w:val="%3."/>
      <w:lvlJc w:val="right"/>
      <w:pPr>
        <w:ind w:left="2505" w:hanging="180"/>
      </w:pPr>
    </w:lvl>
    <w:lvl w:ilvl="3" w:tplc="57C24046" w:tentative="1">
      <w:start w:val="1"/>
      <w:numFmt w:val="decimal"/>
      <w:lvlText w:val="%4."/>
      <w:lvlJc w:val="left"/>
      <w:pPr>
        <w:ind w:left="3225" w:hanging="360"/>
      </w:pPr>
    </w:lvl>
    <w:lvl w:ilvl="4" w:tplc="36305664" w:tentative="1">
      <w:start w:val="1"/>
      <w:numFmt w:val="lowerLetter"/>
      <w:lvlText w:val="%5."/>
      <w:lvlJc w:val="left"/>
      <w:pPr>
        <w:ind w:left="3945" w:hanging="360"/>
      </w:pPr>
    </w:lvl>
    <w:lvl w:ilvl="5" w:tplc="9E9C3FC8" w:tentative="1">
      <w:start w:val="1"/>
      <w:numFmt w:val="lowerRoman"/>
      <w:lvlText w:val="%6."/>
      <w:lvlJc w:val="right"/>
      <w:pPr>
        <w:ind w:left="4665" w:hanging="180"/>
      </w:pPr>
    </w:lvl>
    <w:lvl w:ilvl="6" w:tplc="37E6BD36" w:tentative="1">
      <w:start w:val="1"/>
      <w:numFmt w:val="decimal"/>
      <w:lvlText w:val="%7."/>
      <w:lvlJc w:val="left"/>
      <w:pPr>
        <w:ind w:left="5385" w:hanging="360"/>
      </w:pPr>
    </w:lvl>
    <w:lvl w:ilvl="7" w:tplc="5D9CC5C4" w:tentative="1">
      <w:start w:val="1"/>
      <w:numFmt w:val="lowerLetter"/>
      <w:lvlText w:val="%8."/>
      <w:lvlJc w:val="left"/>
      <w:pPr>
        <w:ind w:left="6105" w:hanging="360"/>
      </w:pPr>
    </w:lvl>
    <w:lvl w:ilvl="8" w:tplc="83245AE2" w:tentative="1">
      <w:start w:val="1"/>
      <w:numFmt w:val="lowerRoman"/>
      <w:lvlText w:val="%9."/>
      <w:lvlJc w:val="right"/>
      <w:pPr>
        <w:ind w:left="6825" w:hanging="180"/>
      </w:pPr>
    </w:lvl>
  </w:abstractNum>
  <w:abstractNum w:abstractNumId="45">
    <w:nsid w:val="7DE812CE"/>
    <w:multiLevelType w:val="hybridMultilevel"/>
    <w:tmpl w:val="304678A2"/>
    <w:lvl w:ilvl="0" w:tplc="08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num w:numId="1">
    <w:abstractNumId w:val="8"/>
  </w:num>
  <w:num w:numId="2">
    <w:abstractNumId w:val="22"/>
  </w:num>
  <w:num w:numId="3">
    <w:abstractNumId w:val="25"/>
  </w:num>
  <w:num w:numId="4">
    <w:abstractNumId w:val="44"/>
  </w:num>
  <w:num w:numId="5">
    <w:abstractNumId w:val="27"/>
  </w:num>
  <w:num w:numId="6">
    <w:abstractNumId w:val="14"/>
  </w:num>
  <w:num w:numId="7">
    <w:abstractNumId w:val="16"/>
  </w:num>
  <w:num w:numId="8">
    <w:abstractNumId w:val="19"/>
  </w:num>
  <w:num w:numId="9">
    <w:abstractNumId w:val="13"/>
  </w:num>
  <w:num w:numId="10">
    <w:abstractNumId w:val="33"/>
  </w:num>
  <w:num w:numId="11">
    <w:abstractNumId w:val="15"/>
  </w:num>
  <w:num w:numId="12">
    <w:abstractNumId w:val="10"/>
  </w:num>
  <w:num w:numId="13">
    <w:abstractNumId w:val="7"/>
  </w:num>
  <w:num w:numId="14">
    <w:abstractNumId w:val="3"/>
  </w:num>
  <w:num w:numId="15">
    <w:abstractNumId w:val="17"/>
  </w:num>
  <w:num w:numId="16">
    <w:abstractNumId w:val="0"/>
  </w:num>
  <w:num w:numId="17">
    <w:abstractNumId w:val="40"/>
  </w:num>
  <w:num w:numId="18">
    <w:abstractNumId w:val="39"/>
  </w:num>
  <w:num w:numId="19">
    <w:abstractNumId w:val="38"/>
  </w:num>
  <w:num w:numId="20">
    <w:abstractNumId w:val="36"/>
  </w:num>
  <w:num w:numId="21">
    <w:abstractNumId w:val="5"/>
  </w:num>
  <w:num w:numId="22">
    <w:abstractNumId w:val="26"/>
  </w:num>
  <w:num w:numId="23">
    <w:abstractNumId w:val="1"/>
  </w:num>
  <w:num w:numId="24">
    <w:abstractNumId w:val="2"/>
  </w:num>
  <w:num w:numId="25">
    <w:abstractNumId w:val="18"/>
  </w:num>
  <w:num w:numId="26">
    <w:abstractNumId w:val="23"/>
  </w:num>
  <w:num w:numId="27">
    <w:abstractNumId w:val="24"/>
  </w:num>
  <w:num w:numId="28">
    <w:abstractNumId w:val="9"/>
  </w:num>
  <w:num w:numId="29">
    <w:abstractNumId w:val="31"/>
  </w:num>
  <w:num w:numId="30">
    <w:abstractNumId w:val="28"/>
  </w:num>
  <w:num w:numId="31">
    <w:abstractNumId w:val="45"/>
  </w:num>
  <w:num w:numId="32">
    <w:abstractNumId w:val="11"/>
  </w:num>
  <w:num w:numId="33">
    <w:abstractNumId w:val="6"/>
  </w:num>
  <w:num w:numId="34">
    <w:abstractNumId w:val="32"/>
  </w:num>
  <w:num w:numId="35">
    <w:abstractNumId w:val="34"/>
  </w:num>
  <w:num w:numId="36">
    <w:abstractNumId w:val="35"/>
  </w:num>
  <w:num w:numId="37">
    <w:abstractNumId w:val="30"/>
  </w:num>
  <w:num w:numId="38">
    <w:abstractNumId w:val="42"/>
  </w:num>
  <w:num w:numId="39">
    <w:abstractNumId w:val="20"/>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43"/>
  </w:num>
  <w:num w:numId="43">
    <w:abstractNumId w:val="37"/>
  </w:num>
  <w:num w:numId="44">
    <w:abstractNumId w:val="4"/>
  </w:num>
  <w:num w:numId="45">
    <w:abstractNumId w:val="21"/>
  </w:num>
  <w:num w:numId="46">
    <w:abstractNumId w:val="29"/>
  </w:num>
  <w:num w:numId="47">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A07CC"/>
    <w:rsid w:val="00000CF8"/>
    <w:rsid w:val="00002050"/>
    <w:rsid w:val="00012F48"/>
    <w:rsid w:val="00015983"/>
    <w:rsid w:val="00021527"/>
    <w:rsid w:val="00025D6A"/>
    <w:rsid w:val="000264AB"/>
    <w:rsid w:val="00041B21"/>
    <w:rsid w:val="000461EC"/>
    <w:rsid w:val="000550BD"/>
    <w:rsid w:val="0005694F"/>
    <w:rsid w:val="00072F30"/>
    <w:rsid w:val="00091F4A"/>
    <w:rsid w:val="00093CAC"/>
    <w:rsid w:val="000A1C0B"/>
    <w:rsid w:val="000A3BEB"/>
    <w:rsid w:val="000A5CC6"/>
    <w:rsid w:val="000B4C2F"/>
    <w:rsid w:val="000B67C9"/>
    <w:rsid w:val="000C3E5F"/>
    <w:rsid w:val="000C4614"/>
    <w:rsid w:val="000C4A13"/>
    <w:rsid w:val="000D7A9E"/>
    <w:rsid w:val="000E48C1"/>
    <w:rsid w:val="000E4AF5"/>
    <w:rsid w:val="000E6968"/>
    <w:rsid w:val="00110AA1"/>
    <w:rsid w:val="001178F3"/>
    <w:rsid w:val="001329A0"/>
    <w:rsid w:val="00137A40"/>
    <w:rsid w:val="00141E1F"/>
    <w:rsid w:val="00142E07"/>
    <w:rsid w:val="0014311C"/>
    <w:rsid w:val="00156547"/>
    <w:rsid w:val="00157D86"/>
    <w:rsid w:val="00165B8E"/>
    <w:rsid w:val="0017037C"/>
    <w:rsid w:val="001731A6"/>
    <w:rsid w:val="00174ECD"/>
    <w:rsid w:val="00177DAB"/>
    <w:rsid w:val="00197A4D"/>
    <w:rsid w:val="00197B9B"/>
    <w:rsid w:val="001A0263"/>
    <w:rsid w:val="001B465B"/>
    <w:rsid w:val="001B4960"/>
    <w:rsid w:val="001B674A"/>
    <w:rsid w:val="001B7B4D"/>
    <w:rsid w:val="001C3246"/>
    <w:rsid w:val="001D50BD"/>
    <w:rsid w:val="001D6A19"/>
    <w:rsid w:val="001F66B1"/>
    <w:rsid w:val="00213A3C"/>
    <w:rsid w:val="00213D53"/>
    <w:rsid w:val="00214242"/>
    <w:rsid w:val="00246385"/>
    <w:rsid w:val="00255803"/>
    <w:rsid w:val="00266DE0"/>
    <w:rsid w:val="00276CB0"/>
    <w:rsid w:val="00280EC8"/>
    <w:rsid w:val="002856BE"/>
    <w:rsid w:val="00291B8C"/>
    <w:rsid w:val="0029629D"/>
    <w:rsid w:val="002C5616"/>
    <w:rsid w:val="002C7496"/>
    <w:rsid w:val="002C7F00"/>
    <w:rsid w:val="002D3CD9"/>
    <w:rsid w:val="002F0BEA"/>
    <w:rsid w:val="002F15B1"/>
    <w:rsid w:val="002F4437"/>
    <w:rsid w:val="00305BDC"/>
    <w:rsid w:val="00306BB5"/>
    <w:rsid w:val="00311421"/>
    <w:rsid w:val="00311CE4"/>
    <w:rsid w:val="00312883"/>
    <w:rsid w:val="00312E36"/>
    <w:rsid w:val="00313819"/>
    <w:rsid w:val="00314EFE"/>
    <w:rsid w:val="003347CD"/>
    <w:rsid w:val="003363AF"/>
    <w:rsid w:val="00356763"/>
    <w:rsid w:val="003635B3"/>
    <w:rsid w:val="00367F2B"/>
    <w:rsid w:val="00395DE6"/>
    <w:rsid w:val="00396F00"/>
    <w:rsid w:val="003A0658"/>
    <w:rsid w:val="003A07CC"/>
    <w:rsid w:val="003A68EF"/>
    <w:rsid w:val="003C6A01"/>
    <w:rsid w:val="003D78B0"/>
    <w:rsid w:val="003E0212"/>
    <w:rsid w:val="003E6A27"/>
    <w:rsid w:val="003E7A75"/>
    <w:rsid w:val="003F2CB1"/>
    <w:rsid w:val="003F77EE"/>
    <w:rsid w:val="00403953"/>
    <w:rsid w:val="00407758"/>
    <w:rsid w:val="004158F3"/>
    <w:rsid w:val="00434624"/>
    <w:rsid w:val="004365FC"/>
    <w:rsid w:val="00436B98"/>
    <w:rsid w:val="004458D3"/>
    <w:rsid w:val="00455F03"/>
    <w:rsid w:val="00467ECA"/>
    <w:rsid w:val="00481787"/>
    <w:rsid w:val="004864F9"/>
    <w:rsid w:val="0049524A"/>
    <w:rsid w:val="004A3BC3"/>
    <w:rsid w:val="004B401E"/>
    <w:rsid w:val="004B6C65"/>
    <w:rsid w:val="004B7A1A"/>
    <w:rsid w:val="004E056F"/>
    <w:rsid w:val="004E2224"/>
    <w:rsid w:val="004E37C0"/>
    <w:rsid w:val="004E61D7"/>
    <w:rsid w:val="004F2C2B"/>
    <w:rsid w:val="005109D9"/>
    <w:rsid w:val="00515686"/>
    <w:rsid w:val="00531DD6"/>
    <w:rsid w:val="005402FB"/>
    <w:rsid w:val="00541AD9"/>
    <w:rsid w:val="00542C6D"/>
    <w:rsid w:val="005467C1"/>
    <w:rsid w:val="0055405E"/>
    <w:rsid w:val="00561F7F"/>
    <w:rsid w:val="00572B1F"/>
    <w:rsid w:val="00582A11"/>
    <w:rsid w:val="00591713"/>
    <w:rsid w:val="005A19E5"/>
    <w:rsid w:val="005A2708"/>
    <w:rsid w:val="005A6FAB"/>
    <w:rsid w:val="005C5BA6"/>
    <w:rsid w:val="005D101A"/>
    <w:rsid w:val="005F1745"/>
    <w:rsid w:val="005F4538"/>
    <w:rsid w:val="006007D3"/>
    <w:rsid w:val="00601E2A"/>
    <w:rsid w:val="00602BDA"/>
    <w:rsid w:val="00610AB2"/>
    <w:rsid w:val="00633298"/>
    <w:rsid w:val="00644DD2"/>
    <w:rsid w:val="00645E9D"/>
    <w:rsid w:val="00657749"/>
    <w:rsid w:val="00660485"/>
    <w:rsid w:val="006716B6"/>
    <w:rsid w:val="00686B89"/>
    <w:rsid w:val="00687549"/>
    <w:rsid w:val="00687A23"/>
    <w:rsid w:val="00693483"/>
    <w:rsid w:val="006A53AA"/>
    <w:rsid w:val="006B3AB5"/>
    <w:rsid w:val="006B4035"/>
    <w:rsid w:val="006B44B9"/>
    <w:rsid w:val="006C09FF"/>
    <w:rsid w:val="006C1F1D"/>
    <w:rsid w:val="006C3D2A"/>
    <w:rsid w:val="006D1976"/>
    <w:rsid w:val="006F4628"/>
    <w:rsid w:val="00704A2A"/>
    <w:rsid w:val="0070559E"/>
    <w:rsid w:val="007131F4"/>
    <w:rsid w:val="007219BD"/>
    <w:rsid w:val="00731187"/>
    <w:rsid w:val="0073370A"/>
    <w:rsid w:val="0073799C"/>
    <w:rsid w:val="00747E88"/>
    <w:rsid w:val="00750F83"/>
    <w:rsid w:val="007521FB"/>
    <w:rsid w:val="00752FDB"/>
    <w:rsid w:val="007546AE"/>
    <w:rsid w:val="00754A22"/>
    <w:rsid w:val="007579B1"/>
    <w:rsid w:val="0076113B"/>
    <w:rsid w:val="00761287"/>
    <w:rsid w:val="00766F17"/>
    <w:rsid w:val="00771437"/>
    <w:rsid w:val="00785E97"/>
    <w:rsid w:val="0078662A"/>
    <w:rsid w:val="007924C5"/>
    <w:rsid w:val="007A0B16"/>
    <w:rsid w:val="007A1648"/>
    <w:rsid w:val="007A6BD8"/>
    <w:rsid w:val="007B00A5"/>
    <w:rsid w:val="007B6255"/>
    <w:rsid w:val="007C5A93"/>
    <w:rsid w:val="007D5497"/>
    <w:rsid w:val="007D6165"/>
    <w:rsid w:val="007E2C28"/>
    <w:rsid w:val="007E31BC"/>
    <w:rsid w:val="007F0AB0"/>
    <w:rsid w:val="007F6497"/>
    <w:rsid w:val="0080150D"/>
    <w:rsid w:val="0080373C"/>
    <w:rsid w:val="008100DD"/>
    <w:rsid w:val="00813F45"/>
    <w:rsid w:val="00817A4E"/>
    <w:rsid w:val="0082617D"/>
    <w:rsid w:val="00834A46"/>
    <w:rsid w:val="008361C7"/>
    <w:rsid w:val="0083787A"/>
    <w:rsid w:val="00843A07"/>
    <w:rsid w:val="00854852"/>
    <w:rsid w:val="00865A0C"/>
    <w:rsid w:val="0087187C"/>
    <w:rsid w:val="008751BA"/>
    <w:rsid w:val="00876192"/>
    <w:rsid w:val="00876CFE"/>
    <w:rsid w:val="00891F48"/>
    <w:rsid w:val="008974CD"/>
    <w:rsid w:val="008E0F2F"/>
    <w:rsid w:val="008F1D2B"/>
    <w:rsid w:val="008F6132"/>
    <w:rsid w:val="009203C0"/>
    <w:rsid w:val="00925452"/>
    <w:rsid w:val="009512AE"/>
    <w:rsid w:val="009533A8"/>
    <w:rsid w:val="00974AF3"/>
    <w:rsid w:val="009773D0"/>
    <w:rsid w:val="00986D20"/>
    <w:rsid w:val="009A5795"/>
    <w:rsid w:val="009A7C81"/>
    <w:rsid w:val="009D71D0"/>
    <w:rsid w:val="009F2EC7"/>
    <w:rsid w:val="009F76EB"/>
    <w:rsid w:val="00A106AE"/>
    <w:rsid w:val="00A13E2E"/>
    <w:rsid w:val="00A21F74"/>
    <w:rsid w:val="00A24ED3"/>
    <w:rsid w:val="00A31D94"/>
    <w:rsid w:val="00A34117"/>
    <w:rsid w:val="00A43D35"/>
    <w:rsid w:val="00A47C45"/>
    <w:rsid w:val="00A57357"/>
    <w:rsid w:val="00A60A9C"/>
    <w:rsid w:val="00A64424"/>
    <w:rsid w:val="00A666EB"/>
    <w:rsid w:val="00A716B2"/>
    <w:rsid w:val="00A72FB1"/>
    <w:rsid w:val="00A77160"/>
    <w:rsid w:val="00A95542"/>
    <w:rsid w:val="00A959F5"/>
    <w:rsid w:val="00AC3B72"/>
    <w:rsid w:val="00B00229"/>
    <w:rsid w:val="00B45435"/>
    <w:rsid w:val="00B5015D"/>
    <w:rsid w:val="00B606D9"/>
    <w:rsid w:val="00B61F6A"/>
    <w:rsid w:val="00B65864"/>
    <w:rsid w:val="00B94FC0"/>
    <w:rsid w:val="00BA137F"/>
    <w:rsid w:val="00BC3FE8"/>
    <w:rsid w:val="00BF08EE"/>
    <w:rsid w:val="00BF135E"/>
    <w:rsid w:val="00BF3311"/>
    <w:rsid w:val="00BF4A95"/>
    <w:rsid w:val="00BF4BFD"/>
    <w:rsid w:val="00BF5454"/>
    <w:rsid w:val="00C11B39"/>
    <w:rsid w:val="00C1254B"/>
    <w:rsid w:val="00C14E54"/>
    <w:rsid w:val="00C17569"/>
    <w:rsid w:val="00C20F82"/>
    <w:rsid w:val="00C370A3"/>
    <w:rsid w:val="00C41AD0"/>
    <w:rsid w:val="00C43678"/>
    <w:rsid w:val="00C46615"/>
    <w:rsid w:val="00C46712"/>
    <w:rsid w:val="00C55CD6"/>
    <w:rsid w:val="00C705A6"/>
    <w:rsid w:val="00C7674E"/>
    <w:rsid w:val="00C83475"/>
    <w:rsid w:val="00C84D8C"/>
    <w:rsid w:val="00C85213"/>
    <w:rsid w:val="00CA5A94"/>
    <w:rsid w:val="00CC723E"/>
    <w:rsid w:val="00CD2017"/>
    <w:rsid w:val="00CE3602"/>
    <w:rsid w:val="00CF7691"/>
    <w:rsid w:val="00D17D40"/>
    <w:rsid w:val="00D26565"/>
    <w:rsid w:val="00D356AE"/>
    <w:rsid w:val="00D400EE"/>
    <w:rsid w:val="00D44F20"/>
    <w:rsid w:val="00D618DE"/>
    <w:rsid w:val="00D93657"/>
    <w:rsid w:val="00DB097D"/>
    <w:rsid w:val="00DB0E1D"/>
    <w:rsid w:val="00DB1CED"/>
    <w:rsid w:val="00DC0BCD"/>
    <w:rsid w:val="00DC23ED"/>
    <w:rsid w:val="00DC3229"/>
    <w:rsid w:val="00DC73DB"/>
    <w:rsid w:val="00DD308F"/>
    <w:rsid w:val="00DE4D89"/>
    <w:rsid w:val="00DF36E2"/>
    <w:rsid w:val="00DF3A46"/>
    <w:rsid w:val="00E0663D"/>
    <w:rsid w:val="00E112B7"/>
    <w:rsid w:val="00E21B2C"/>
    <w:rsid w:val="00E23AD1"/>
    <w:rsid w:val="00E24742"/>
    <w:rsid w:val="00E261BE"/>
    <w:rsid w:val="00E356C8"/>
    <w:rsid w:val="00E37EE5"/>
    <w:rsid w:val="00E71C7B"/>
    <w:rsid w:val="00E7493E"/>
    <w:rsid w:val="00E751D4"/>
    <w:rsid w:val="00E860C2"/>
    <w:rsid w:val="00E94616"/>
    <w:rsid w:val="00EA47E0"/>
    <w:rsid w:val="00EC3624"/>
    <w:rsid w:val="00EF5E8C"/>
    <w:rsid w:val="00F02BE9"/>
    <w:rsid w:val="00F27999"/>
    <w:rsid w:val="00F32A69"/>
    <w:rsid w:val="00F35B3B"/>
    <w:rsid w:val="00F35E25"/>
    <w:rsid w:val="00F443BB"/>
    <w:rsid w:val="00F56E5A"/>
    <w:rsid w:val="00F614A5"/>
    <w:rsid w:val="00F739F9"/>
    <w:rsid w:val="00F76F4C"/>
    <w:rsid w:val="00F83E1D"/>
    <w:rsid w:val="00F83F1B"/>
    <w:rsid w:val="00F91ECD"/>
    <w:rsid w:val="00FA65C3"/>
    <w:rsid w:val="00FB0D2C"/>
    <w:rsid w:val="00FB37BE"/>
    <w:rsid w:val="00FB7C3B"/>
    <w:rsid w:val="00FE07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2A6A42-A85D-44E2-8CCA-81E1A466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51D4"/>
    <w:rPr>
      <w:snapToGrid w:val="0"/>
      <w:lang w:val="fr-FR"/>
    </w:rPr>
  </w:style>
  <w:style w:type="paragraph" w:styleId="1">
    <w:name w:val="heading 1"/>
    <w:basedOn w:val="a0"/>
    <w:next w:val="a0"/>
    <w:link w:val="10"/>
    <w:qFormat/>
    <w:rsid w:val="00E751D4"/>
    <w:pPr>
      <w:keepNext/>
      <w:outlineLvl w:val="0"/>
    </w:pPr>
    <w:rPr>
      <w:sz w:val="24"/>
      <w:u w:val="single"/>
      <w:lang w:val="fr-BE"/>
    </w:rPr>
  </w:style>
  <w:style w:type="paragraph" w:styleId="20">
    <w:name w:val="heading 2"/>
    <w:basedOn w:val="a0"/>
    <w:next w:val="a0"/>
    <w:link w:val="21"/>
    <w:qFormat/>
    <w:rsid w:val="00E751D4"/>
    <w:pPr>
      <w:keepNext/>
      <w:jc w:val="center"/>
      <w:outlineLvl w:val="1"/>
    </w:pPr>
    <w:rPr>
      <w:sz w:val="24"/>
      <w:u w:val="single"/>
      <w:lang w:val="fr-BE"/>
    </w:rPr>
  </w:style>
  <w:style w:type="paragraph" w:styleId="3">
    <w:name w:val="heading 3"/>
    <w:basedOn w:val="a0"/>
    <w:next w:val="a0"/>
    <w:link w:val="30"/>
    <w:qFormat/>
    <w:rsid w:val="00E751D4"/>
    <w:pPr>
      <w:keepNext/>
      <w:jc w:val="center"/>
      <w:outlineLvl w:val="2"/>
    </w:pPr>
    <w:rPr>
      <w:b/>
      <w:sz w:val="24"/>
      <w:u w:val="single"/>
      <w:lang w:val="fr-BE"/>
    </w:rPr>
  </w:style>
  <w:style w:type="paragraph" w:styleId="4">
    <w:name w:val="heading 4"/>
    <w:basedOn w:val="a0"/>
    <w:next w:val="a0"/>
    <w:link w:val="40"/>
    <w:qFormat/>
    <w:rsid w:val="00E751D4"/>
    <w:pPr>
      <w:keepNext/>
      <w:jc w:val="center"/>
      <w:outlineLvl w:val="3"/>
    </w:pPr>
    <w:rPr>
      <w:rFonts w:ascii="Book Antiqua" w:hAnsi="Book Antiqua"/>
      <w:b/>
      <w:caps/>
      <w:sz w:val="24"/>
    </w:rPr>
  </w:style>
  <w:style w:type="paragraph" w:styleId="5">
    <w:name w:val="heading 5"/>
    <w:basedOn w:val="a0"/>
    <w:next w:val="a0"/>
    <w:link w:val="50"/>
    <w:qFormat/>
    <w:rsid w:val="00E751D4"/>
    <w:pPr>
      <w:keepNext/>
      <w:spacing w:before="120"/>
      <w:jc w:val="both"/>
      <w:outlineLvl w:val="4"/>
    </w:pPr>
    <w:rPr>
      <w:rFonts w:ascii="Book Antiqua" w:hAnsi="Book Antiqua"/>
      <w:b/>
      <w:sz w:val="24"/>
      <w:lang w:val="fr-BE"/>
    </w:rPr>
  </w:style>
  <w:style w:type="paragraph" w:styleId="6">
    <w:name w:val="heading 6"/>
    <w:basedOn w:val="a0"/>
    <w:next w:val="a0"/>
    <w:link w:val="60"/>
    <w:qFormat/>
    <w:rsid w:val="00E751D4"/>
    <w:pPr>
      <w:keepNext/>
      <w:spacing w:before="120" w:after="120"/>
      <w:jc w:val="center"/>
      <w:outlineLvl w:val="5"/>
    </w:pPr>
    <w:rPr>
      <w:rFonts w:ascii="Book Antiqua" w:hAnsi="Book Antiqua"/>
      <w:b/>
      <w:color w:val="000000"/>
      <w:sz w:val="24"/>
    </w:rPr>
  </w:style>
  <w:style w:type="paragraph" w:styleId="7">
    <w:name w:val="heading 7"/>
    <w:basedOn w:val="a0"/>
    <w:next w:val="a0"/>
    <w:link w:val="70"/>
    <w:qFormat/>
    <w:rsid w:val="00E751D4"/>
    <w:pPr>
      <w:keepNext/>
      <w:spacing w:before="120"/>
      <w:jc w:val="both"/>
      <w:outlineLvl w:val="6"/>
    </w:pPr>
    <w:rPr>
      <w:smallCaps/>
      <w:sz w:val="24"/>
      <w:lang w:val="fr-BE"/>
    </w:rPr>
  </w:style>
  <w:style w:type="paragraph" w:styleId="8">
    <w:name w:val="heading 8"/>
    <w:basedOn w:val="a0"/>
    <w:next w:val="a0"/>
    <w:link w:val="80"/>
    <w:qFormat/>
    <w:rsid w:val="00E751D4"/>
    <w:pPr>
      <w:keepNext/>
      <w:spacing w:before="120"/>
      <w:outlineLvl w:val="7"/>
    </w:pPr>
    <w:rPr>
      <w:i/>
      <w:sz w:val="24"/>
      <w:lang w:val="fr-BE"/>
    </w:rPr>
  </w:style>
  <w:style w:type="paragraph" w:styleId="9">
    <w:name w:val="heading 9"/>
    <w:basedOn w:val="a0"/>
    <w:next w:val="a0"/>
    <w:link w:val="90"/>
    <w:qFormat/>
    <w:rsid w:val="00E751D4"/>
    <w:pPr>
      <w:keepNext/>
      <w:spacing w:before="120" w:after="120"/>
      <w:jc w:val="center"/>
      <w:outlineLvl w:val="8"/>
    </w:pPr>
    <w:rPr>
      <w:rFonts w:ascii="Book Antiqua" w:hAnsi="Book Antiqua"/>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E751D4"/>
    <w:pPr>
      <w:jc w:val="both"/>
    </w:pPr>
    <w:rPr>
      <w:sz w:val="24"/>
      <w:lang w:val="fr-BE"/>
    </w:rPr>
  </w:style>
  <w:style w:type="paragraph" w:styleId="a5">
    <w:name w:val="Body Text Indent"/>
    <w:basedOn w:val="a0"/>
    <w:link w:val="a6"/>
    <w:uiPriority w:val="99"/>
    <w:rsid w:val="00E751D4"/>
    <w:pPr>
      <w:ind w:left="360"/>
      <w:jc w:val="both"/>
    </w:pPr>
    <w:rPr>
      <w:sz w:val="24"/>
      <w:lang w:val="fr-BE"/>
    </w:rPr>
  </w:style>
  <w:style w:type="paragraph" w:styleId="22">
    <w:name w:val="Body Text Indent 2"/>
    <w:basedOn w:val="a0"/>
    <w:rsid w:val="00E751D4"/>
    <w:pPr>
      <w:ind w:left="709" w:hanging="349"/>
    </w:pPr>
    <w:rPr>
      <w:sz w:val="24"/>
      <w:lang w:val="fr-BE"/>
    </w:rPr>
  </w:style>
  <w:style w:type="paragraph" w:styleId="31">
    <w:name w:val="Body Text Indent 3"/>
    <w:basedOn w:val="a0"/>
    <w:rsid w:val="00E751D4"/>
    <w:pPr>
      <w:ind w:left="360" w:hanging="360"/>
      <w:jc w:val="both"/>
    </w:pPr>
    <w:rPr>
      <w:sz w:val="24"/>
      <w:lang w:val="fr-BE"/>
    </w:rPr>
  </w:style>
  <w:style w:type="paragraph" w:styleId="a7">
    <w:name w:val="footer"/>
    <w:basedOn w:val="a0"/>
    <w:link w:val="a8"/>
    <w:rsid w:val="00E751D4"/>
    <w:pPr>
      <w:tabs>
        <w:tab w:val="center" w:pos="4153"/>
        <w:tab w:val="right" w:pos="8306"/>
      </w:tabs>
    </w:pPr>
    <w:rPr>
      <w:rFonts w:ascii="Book Antiqua" w:hAnsi="Book Antiqua"/>
      <w:sz w:val="22"/>
      <w:lang w:val="en-GB"/>
    </w:rPr>
  </w:style>
  <w:style w:type="character" w:styleId="a9">
    <w:name w:val="page number"/>
    <w:basedOn w:val="a1"/>
    <w:rsid w:val="00E751D4"/>
  </w:style>
  <w:style w:type="paragraph" w:styleId="32">
    <w:name w:val="Body Text 3"/>
    <w:basedOn w:val="a0"/>
    <w:rsid w:val="00E751D4"/>
    <w:pPr>
      <w:jc w:val="center"/>
    </w:pPr>
    <w:rPr>
      <w:rFonts w:ascii="Book Antiqua" w:hAnsi="Book Antiqua"/>
      <w:b/>
      <w:sz w:val="24"/>
      <w:lang w:val="fr-BE"/>
    </w:rPr>
  </w:style>
  <w:style w:type="paragraph" w:styleId="aa">
    <w:name w:val="footnote text"/>
    <w:aliases w:val="Footnote,Footnote Text Char1 Char,Footnote Text Char Char Char,Footnote Text Char1 Char Char Char,Footnote Text Char Char Char Char Char,Footnote Text Char1 Char1 Char,Footnote Text Char Char Char1 Char,single space,fn,Footnote text"/>
    <w:basedOn w:val="a0"/>
    <w:link w:val="ab"/>
    <w:rsid w:val="00E751D4"/>
    <w:pPr>
      <w:spacing w:after="240"/>
      <w:ind w:left="357" w:hanging="357"/>
      <w:jc w:val="both"/>
    </w:pPr>
  </w:style>
  <w:style w:type="character" w:styleId="ac">
    <w:name w:val="footnote reference"/>
    <w:aliases w:val="ftref,16 Point,Superscript 6 Point"/>
    <w:basedOn w:val="a1"/>
    <w:rsid w:val="00E751D4"/>
    <w:rPr>
      <w:vertAlign w:val="superscript"/>
    </w:rPr>
  </w:style>
  <w:style w:type="paragraph" w:styleId="ad">
    <w:name w:val="header"/>
    <w:basedOn w:val="a0"/>
    <w:link w:val="ae"/>
    <w:rsid w:val="00E751D4"/>
    <w:pPr>
      <w:tabs>
        <w:tab w:val="center" w:pos="4320"/>
        <w:tab w:val="right" w:pos="8640"/>
      </w:tabs>
    </w:pPr>
  </w:style>
  <w:style w:type="character" w:styleId="af">
    <w:name w:val="endnote reference"/>
    <w:basedOn w:val="a1"/>
    <w:semiHidden/>
    <w:rsid w:val="00E751D4"/>
    <w:rPr>
      <w:vertAlign w:val="superscript"/>
    </w:rPr>
  </w:style>
  <w:style w:type="character" w:customStyle="1" w:styleId="Initial">
    <w:name w:val="Initial"/>
    <w:basedOn w:val="a1"/>
    <w:rsid w:val="00E751D4"/>
    <w:rPr>
      <w:rFonts w:ascii="CG Times" w:hAnsi="CG Times"/>
      <w:noProof w:val="0"/>
      <w:sz w:val="24"/>
      <w:lang w:val="en-US"/>
    </w:rPr>
  </w:style>
  <w:style w:type="character" w:styleId="af0">
    <w:name w:val="Hyperlink"/>
    <w:basedOn w:val="a1"/>
    <w:rsid w:val="00E751D4"/>
    <w:rPr>
      <w:color w:val="0000FF"/>
      <w:u w:val="single"/>
    </w:rPr>
  </w:style>
  <w:style w:type="paragraph" w:styleId="af1">
    <w:name w:val="Document Map"/>
    <w:basedOn w:val="a0"/>
    <w:semiHidden/>
    <w:rsid w:val="00E751D4"/>
    <w:pPr>
      <w:shd w:val="clear" w:color="auto" w:fill="000080"/>
    </w:pPr>
  </w:style>
  <w:style w:type="paragraph" w:styleId="af2">
    <w:name w:val="caption"/>
    <w:basedOn w:val="a0"/>
    <w:next w:val="a0"/>
    <w:qFormat/>
    <w:rsid w:val="00E751D4"/>
    <w:pPr>
      <w:spacing w:before="120" w:after="120"/>
    </w:pPr>
    <w:rPr>
      <w:b/>
    </w:rPr>
  </w:style>
  <w:style w:type="paragraph" w:customStyle="1" w:styleId="NumPar1">
    <w:name w:val="NumPar 1"/>
    <w:basedOn w:val="1"/>
    <w:next w:val="Text1"/>
    <w:rsid w:val="00E751D4"/>
    <w:pPr>
      <w:keepNext w:val="0"/>
      <w:spacing w:after="240"/>
      <w:ind w:left="483" w:hanging="483"/>
      <w:jc w:val="both"/>
      <w:outlineLvl w:val="9"/>
    </w:pPr>
    <w:rPr>
      <w:kern w:val="28"/>
      <w:u w:val="none"/>
      <w:lang w:val="fr-FR"/>
    </w:rPr>
  </w:style>
  <w:style w:type="paragraph" w:customStyle="1" w:styleId="Text1">
    <w:name w:val="Text 1"/>
    <w:basedOn w:val="a0"/>
    <w:rsid w:val="00E751D4"/>
    <w:pPr>
      <w:spacing w:after="240"/>
      <w:ind w:left="482"/>
      <w:jc w:val="both"/>
    </w:pPr>
    <w:rPr>
      <w:sz w:val="24"/>
    </w:rPr>
  </w:style>
  <w:style w:type="character" w:styleId="af3">
    <w:name w:val="Emphasis"/>
    <w:basedOn w:val="a1"/>
    <w:qFormat/>
    <w:rsid w:val="000C4A13"/>
    <w:rPr>
      <w:i/>
      <w:iCs/>
    </w:rPr>
  </w:style>
  <w:style w:type="paragraph" w:styleId="af4">
    <w:name w:val="Balloon Text"/>
    <w:basedOn w:val="a0"/>
    <w:link w:val="af5"/>
    <w:semiHidden/>
    <w:rsid w:val="00BF08EE"/>
    <w:rPr>
      <w:rFonts w:ascii="Tahoma" w:hAnsi="Tahoma" w:cs="Tahoma"/>
      <w:sz w:val="16"/>
      <w:szCs w:val="16"/>
    </w:rPr>
  </w:style>
  <w:style w:type="table" w:styleId="af6">
    <w:name w:val="Table Grid"/>
    <w:basedOn w:val="a2"/>
    <w:rsid w:val="004E3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1"/>
    <w:rsid w:val="001B674A"/>
    <w:rPr>
      <w:sz w:val="16"/>
      <w:szCs w:val="16"/>
    </w:rPr>
  </w:style>
  <w:style w:type="paragraph" w:styleId="af8">
    <w:name w:val="annotation text"/>
    <w:basedOn w:val="a0"/>
    <w:link w:val="af9"/>
    <w:rsid w:val="001B674A"/>
  </w:style>
  <w:style w:type="character" w:customStyle="1" w:styleId="af9">
    <w:name w:val="Текст примечания Знак"/>
    <w:basedOn w:val="a1"/>
    <w:link w:val="af8"/>
    <w:rsid w:val="001B674A"/>
    <w:rPr>
      <w:snapToGrid w:val="0"/>
      <w:lang w:val="fr-FR"/>
    </w:rPr>
  </w:style>
  <w:style w:type="paragraph" w:styleId="afa">
    <w:name w:val="annotation subject"/>
    <w:basedOn w:val="af8"/>
    <w:next w:val="af8"/>
    <w:link w:val="afb"/>
    <w:rsid w:val="001B674A"/>
    <w:rPr>
      <w:b/>
      <w:bCs/>
    </w:rPr>
  </w:style>
  <w:style w:type="character" w:customStyle="1" w:styleId="afb">
    <w:name w:val="Тема примечания Знак"/>
    <w:basedOn w:val="af9"/>
    <w:link w:val="afa"/>
    <w:rsid w:val="001B674A"/>
    <w:rPr>
      <w:b/>
      <w:bCs/>
      <w:snapToGrid w:val="0"/>
      <w:lang w:val="fr-FR"/>
    </w:rPr>
  </w:style>
  <w:style w:type="paragraph" w:styleId="afc">
    <w:name w:val="List Paragraph"/>
    <w:basedOn w:val="a0"/>
    <w:link w:val="afd"/>
    <w:uiPriority w:val="34"/>
    <w:qFormat/>
    <w:rsid w:val="00F35B3B"/>
    <w:pPr>
      <w:ind w:left="720"/>
      <w:contextualSpacing/>
    </w:pPr>
  </w:style>
  <w:style w:type="character" w:customStyle="1" w:styleId="10">
    <w:name w:val="Заголовок 1 Знак"/>
    <w:basedOn w:val="a1"/>
    <w:link w:val="1"/>
    <w:rsid w:val="001A0263"/>
    <w:rPr>
      <w:snapToGrid w:val="0"/>
      <w:sz w:val="24"/>
      <w:u w:val="single"/>
      <w:lang w:val="fr-BE"/>
    </w:rPr>
  </w:style>
  <w:style w:type="character" w:customStyle="1" w:styleId="21">
    <w:name w:val="Заголовок 2 Знак"/>
    <w:basedOn w:val="a1"/>
    <w:link w:val="20"/>
    <w:rsid w:val="001A0263"/>
    <w:rPr>
      <w:snapToGrid w:val="0"/>
      <w:sz w:val="24"/>
      <w:u w:val="single"/>
      <w:lang w:val="fr-BE"/>
    </w:rPr>
  </w:style>
  <w:style w:type="character" w:customStyle="1" w:styleId="30">
    <w:name w:val="Заголовок 3 Знак"/>
    <w:basedOn w:val="a1"/>
    <w:link w:val="3"/>
    <w:rsid w:val="001A0263"/>
    <w:rPr>
      <w:b/>
      <w:snapToGrid w:val="0"/>
      <w:sz w:val="24"/>
      <w:u w:val="single"/>
      <w:lang w:val="fr-BE"/>
    </w:rPr>
  </w:style>
  <w:style w:type="character" w:customStyle="1" w:styleId="ae">
    <w:name w:val="Верхний колонтитул Знак"/>
    <w:basedOn w:val="a1"/>
    <w:link w:val="ad"/>
    <w:rsid w:val="001A0263"/>
    <w:rPr>
      <w:snapToGrid w:val="0"/>
      <w:lang w:val="fr-FR"/>
    </w:rPr>
  </w:style>
  <w:style w:type="character" w:customStyle="1" w:styleId="a8">
    <w:name w:val="Нижний колонтитул Знак"/>
    <w:basedOn w:val="a1"/>
    <w:link w:val="a7"/>
    <w:rsid w:val="001A0263"/>
    <w:rPr>
      <w:rFonts w:ascii="Book Antiqua" w:hAnsi="Book Antiqua"/>
      <w:snapToGrid w:val="0"/>
      <w:sz w:val="22"/>
      <w:lang w:val="en-GB"/>
    </w:rPr>
  </w:style>
  <w:style w:type="character" w:customStyle="1" w:styleId="afd">
    <w:name w:val="Абзац списка Знак"/>
    <w:basedOn w:val="a1"/>
    <w:link w:val="afc"/>
    <w:uiPriority w:val="34"/>
    <w:locked/>
    <w:rsid w:val="001A0263"/>
    <w:rPr>
      <w:snapToGrid w:val="0"/>
      <w:lang w:val="fr-FR"/>
    </w:rPr>
  </w:style>
  <w:style w:type="character" w:customStyle="1" w:styleId="a6">
    <w:name w:val="Основной текст с отступом Знак"/>
    <w:basedOn w:val="a1"/>
    <w:link w:val="a5"/>
    <w:uiPriority w:val="99"/>
    <w:rsid w:val="001A0263"/>
    <w:rPr>
      <w:snapToGrid w:val="0"/>
      <w:sz w:val="24"/>
      <w:lang w:val="fr-BE"/>
    </w:rPr>
  </w:style>
  <w:style w:type="character" w:customStyle="1" w:styleId="af5">
    <w:name w:val="Текст выноски Знак"/>
    <w:basedOn w:val="a1"/>
    <w:link w:val="af4"/>
    <w:semiHidden/>
    <w:rsid w:val="001A0263"/>
    <w:rPr>
      <w:rFonts w:ascii="Tahoma" w:hAnsi="Tahoma" w:cs="Tahoma"/>
      <w:snapToGrid w:val="0"/>
      <w:sz w:val="16"/>
      <w:szCs w:val="16"/>
      <w:lang w:val="fr-FR"/>
    </w:rPr>
  </w:style>
  <w:style w:type="character" w:customStyle="1" w:styleId="40">
    <w:name w:val="Заголовок 4 Знак"/>
    <w:basedOn w:val="a1"/>
    <w:link w:val="4"/>
    <w:rsid w:val="001A0263"/>
    <w:rPr>
      <w:rFonts w:ascii="Book Antiqua" w:hAnsi="Book Antiqua"/>
      <w:b/>
      <w:caps/>
      <w:snapToGrid w:val="0"/>
      <w:sz w:val="24"/>
      <w:lang w:val="fr-FR"/>
    </w:rPr>
  </w:style>
  <w:style w:type="character" w:customStyle="1" w:styleId="50">
    <w:name w:val="Заголовок 5 Знак"/>
    <w:basedOn w:val="a1"/>
    <w:link w:val="5"/>
    <w:rsid w:val="001A0263"/>
    <w:rPr>
      <w:rFonts w:ascii="Book Antiqua" w:hAnsi="Book Antiqua"/>
      <w:b/>
      <w:snapToGrid w:val="0"/>
      <w:sz w:val="24"/>
      <w:lang w:val="fr-BE"/>
    </w:rPr>
  </w:style>
  <w:style w:type="character" w:customStyle="1" w:styleId="60">
    <w:name w:val="Заголовок 6 Знак"/>
    <w:basedOn w:val="a1"/>
    <w:link w:val="6"/>
    <w:rsid w:val="001A0263"/>
    <w:rPr>
      <w:rFonts w:ascii="Book Antiqua" w:hAnsi="Book Antiqua"/>
      <w:b/>
      <w:snapToGrid w:val="0"/>
      <w:color w:val="000000"/>
      <w:sz w:val="24"/>
      <w:lang w:val="fr-FR"/>
    </w:rPr>
  </w:style>
  <w:style w:type="character" w:customStyle="1" w:styleId="70">
    <w:name w:val="Заголовок 7 Знак"/>
    <w:basedOn w:val="a1"/>
    <w:link w:val="7"/>
    <w:rsid w:val="001A0263"/>
    <w:rPr>
      <w:smallCaps/>
      <w:snapToGrid w:val="0"/>
      <w:sz w:val="24"/>
      <w:lang w:val="fr-BE"/>
    </w:rPr>
  </w:style>
  <w:style w:type="character" w:customStyle="1" w:styleId="80">
    <w:name w:val="Заголовок 8 Знак"/>
    <w:basedOn w:val="a1"/>
    <w:link w:val="8"/>
    <w:rsid w:val="001A0263"/>
    <w:rPr>
      <w:i/>
      <w:snapToGrid w:val="0"/>
      <w:sz w:val="24"/>
      <w:lang w:val="fr-BE"/>
    </w:rPr>
  </w:style>
  <w:style w:type="character" w:customStyle="1" w:styleId="90">
    <w:name w:val="Заголовок 9 Знак"/>
    <w:basedOn w:val="a1"/>
    <w:link w:val="9"/>
    <w:rsid w:val="001A0263"/>
    <w:rPr>
      <w:rFonts w:ascii="Book Antiqua" w:hAnsi="Book Antiqua"/>
      <w:b/>
      <w:snapToGrid w:val="0"/>
      <w:sz w:val="22"/>
      <w:lang w:val="fr-FR"/>
    </w:rPr>
  </w:style>
  <w:style w:type="paragraph" w:customStyle="1" w:styleId="Text2">
    <w:name w:val="Text 2"/>
    <w:basedOn w:val="a0"/>
    <w:link w:val="Text2Char"/>
    <w:rsid w:val="001A0263"/>
    <w:pPr>
      <w:spacing w:before="120" w:after="120"/>
      <w:ind w:left="850"/>
      <w:jc w:val="both"/>
    </w:pPr>
    <w:rPr>
      <w:snapToGrid/>
      <w:sz w:val="24"/>
      <w:lang w:eastAsia="en-GB"/>
    </w:rPr>
  </w:style>
  <w:style w:type="paragraph" w:customStyle="1" w:styleId="SectionTitle">
    <w:name w:val="SectionTitle"/>
    <w:basedOn w:val="a0"/>
    <w:next w:val="1"/>
    <w:rsid w:val="001A0263"/>
    <w:pPr>
      <w:keepNext/>
      <w:spacing w:before="120" w:after="360"/>
      <w:jc w:val="center"/>
    </w:pPr>
    <w:rPr>
      <w:b/>
      <w:smallCaps/>
      <w:snapToGrid/>
      <w:sz w:val="28"/>
      <w:lang w:eastAsia="en-GB"/>
    </w:rPr>
  </w:style>
  <w:style w:type="paragraph" w:customStyle="1" w:styleId="ListNumber1">
    <w:name w:val="List Number 1"/>
    <w:basedOn w:val="Text1"/>
    <w:rsid w:val="001A0263"/>
    <w:pPr>
      <w:numPr>
        <w:numId w:val="18"/>
      </w:numPr>
      <w:spacing w:before="120" w:after="120"/>
    </w:pPr>
    <w:rPr>
      <w:snapToGrid/>
      <w:lang w:eastAsia="en-GB"/>
    </w:rPr>
  </w:style>
  <w:style w:type="paragraph" w:styleId="2">
    <w:name w:val="List Number 2"/>
    <w:basedOn w:val="a0"/>
    <w:rsid w:val="001A0263"/>
    <w:pPr>
      <w:numPr>
        <w:numId w:val="19"/>
      </w:numPr>
      <w:spacing w:before="120" w:after="120"/>
      <w:jc w:val="both"/>
    </w:pPr>
    <w:rPr>
      <w:snapToGrid/>
      <w:sz w:val="24"/>
      <w:lang w:eastAsia="en-GB"/>
    </w:rPr>
  </w:style>
  <w:style w:type="paragraph" w:customStyle="1" w:styleId="ListNumber1Level2">
    <w:name w:val="List Number 1 (Level 2)"/>
    <w:basedOn w:val="Text1"/>
    <w:rsid w:val="001A0263"/>
    <w:pPr>
      <w:numPr>
        <w:ilvl w:val="1"/>
        <w:numId w:val="18"/>
      </w:numPr>
      <w:spacing w:before="120" w:after="120"/>
    </w:pPr>
    <w:rPr>
      <w:snapToGrid/>
      <w:lang w:eastAsia="en-GB"/>
    </w:rPr>
  </w:style>
  <w:style w:type="paragraph" w:customStyle="1" w:styleId="ListNumber2Level2">
    <w:name w:val="List Number 2 (Level 2)"/>
    <w:basedOn w:val="Text2"/>
    <w:rsid w:val="001A0263"/>
    <w:pPr>
      <w:numPr>
        <w:ilvl w:val="1"/>
        <w:numId w:val="19"/>
      </w:numPr>
      <w:tabs>
        <w:tab w:val="clear" w:pos="2268"/>
        <w:tab w:val="num" w:pos="360"/>
      </w:tabs>
      <w:ind w:left="850" w:firstLine="0"/>
    </w:pPr>
  </w:style>
  <w:style w:type="paragraph" w:customStyle="1" w:styleId="ListNumber1Level3">
    <w:name w:val="List Number 1 (Level 3)"/>
    <w:basedOn w:val="Text1"/>
    <w:rsid w:val="001A0263"/>
    <w:pPr>
      <w:numPr>
        <w:ilvl w:val="2"/>
        <w:numId w:val="18"/>
      </w:numPr>
      <w:spacing w:before="120" w:after="120"/>
    </w:pPr>
    <w:rPr>
      <w:snapToGrid/>
      <w:lang w:eastAsia="en-GB"/>
    </w:rPr>
  </w:style>
  <w:style w:type="paragraph" w:customStyle="1" w:styleId="ListNumber2Level3">
    <w:name w:val="List Number 2 (Level 3)"/>
    <w:basedOn w:val="Text2"/>
    <w:rsid w:val="001A0263"/>
    <w:pPr>
      <w:numPr>
        <w:ilvl w:val="2"/>
        <w:numId w:val="19"/>
      </w:numPr>
      <w:tabs>
        <w:tab w:val="clear" w:pos="2977"/>
        <w:tab w:val="num" w:pos="360"/>
      </w:tabs>
      <w:ind w:left="850" w:firstLine="0"/>
    </w:pPr>
  </w:style>
  <w:style w:type="paragraph" w:customStyle="1" w:styleId="ListNumber1Level4">
    <w:name w:val="List Number 1 (Level 4)"/>
    <w:basedOn w:val="Text1"/>
    <w:rsid w:val="001A0263"/>
    <w:pPr>
      <w:numPr>
        <w:ilvl w:val="3"/>
        <w:numId w:val="18"/>
      </w:numPr>
      <w:spacing w:before="120" w:after="120"/>
    </w:pPr>
    <w:rPr>
      <w:snapToGrid/>
      <w:lang w:eastAsia="en-GB"/>
    </w:rPr>
  </w:style>
  <w:style w:type="paragraph" w:customStyle="1" w:styleId="ListNumber2Level4">
    <w:name w:val="List Number 2 (Level 4)"/>
    <w:basedOn w:val="Text2"/>
    <w:rsid w:val="001A0263"/>
    <w:pPr>
      <w:numPr>
        <w:ilvl w:val="3"/>
        <w:numId w:val="19"/>
      </w:numPr>
      <w:tabs>
        <w:tab w:val="clear" w:pos="3686"/>
        <w:tab w:val="num" w:pos="360"/>
      </w:tabs>
      <w:ind w:left="850" w:firstLine="0"/>
    </w:pPr>
  </w:style>
  <w:style w:type="paragraph" w:customStyle="1" w:styleId="ZnakZnak">
    <w:name w:val="Znak Znak"/>
    <w:basedOn w:val="a0"/>
    <w:next w:val="a0"/>
    <w:rsid w:val="001A0263"/>
    <w:pPr>
      <w:spacing w:after="160" w:line="240" w:lineRule="exact"/>
    </w:pPr>
    <w:rPr>
      <w:rFonts w:ascii="Tahoma" w:hAnsi="Tahoma"/>
      <w:sz w:val="24"/>
      <w:lang w:val="en-GB" w:eastAsia="en-GB"/>
    </w:rPr>
  </w:style>
  <w:style w:type="paragraph" w:customStyle="1" w:styleId="Text3">
    <w:name w:val="Text 3"/>
    <w:basedOn w:val="a0"/>
    <w:rsid w:val="001A0263"/>
    <w:pPr>
      <w:tabs>
        <w:tab w:val="left" w:pos="2302"/>
      </w:tabs>
      <w:spacing w:after="240"/>
      <w:ind w:left="1202"/>
      <w:jc w:val="both"/>
    </w:pPr>
    <w:rPr>
      <w:sz w:val="24"/>
      <w:lang w:val="en-GB" w:eastAsia="en-GB"/>
    </w:rPr>
  </w:style>
  <w:style w:type="paragraph" w:styleId="11">
    <w:name w:val="toc 1"/>
    <w:basedOn w:val="a0"/>
    <w:next w:val="a0"/>
    <w:rsid w:val="001A0263"/>
    <w:pPr>
      <w:spacing w:before="360" w:after="360"/>
    </w:pPr>
    <w:rPr>
      <w:b/>
      <w:bCs/>
      <w:caps/>
      <w:sz w:val="22"/>
      <w:szCs w:val="22"/>
      <w:u w:val="single"/>
      <w:lang w:val="en-GB" w:eastAsia="en-GB"/>
    </w:rPr>
  </w:style>
  <w:style w:type="paragraph" w:customStyle="1" w:styleId="CharCharChar">
    <w:name w:val="Char Char Char"/>
    <w:basedOn w:val="a0"/>
    <w:next w:val="a0"/>
    <w:rsid w:val="001A0263"/>
    <w:pPr>
      <w:spacing w:after="160" w:line="240" w:lineRule="exact"/>
      <w:jc w:val="center"/>
    </w:pPr>
    <w:rPr>
      <w:rFonts w:ascii="Tahoma" w:hAnsi="Tahoma"/>
      <w:b/>
      <w:sz w:val="24"/>
      <w:lang w:val="en-US" w:eastAsia="en-GB"/>
    </w:rPr>
  </w:style>
  <w:style w:type="numbering" w:styleId="a">
    <w:name w:val="Outline List 3"/>
    <w:basedOn w:val="a3"/>
    <w:rsid w:val="001A0263"/>
    <w:pPr>
      <w:numPr>
        <w:numId w:val="22"/>
      </w:numPr>
    </w:pPr>
  </w:style>
  <w:style w:type="character" w:customStyle="1" w:styleId="ab">
    <w:name w:val="Текст сноски Знак"/>
    <w:aliases w:val="Footnote Знак,Footnote Text Char1 Char Знак,Footnote Text Char Char Char Знак,Footnote Text Char1 Char Char Char Знак,Footnote Text Char Char Char Char Char Знак,Footnote Text Char1 Char1 Char Знак,single space Знак,fn Знак"/>
    <w:basedOn w:val="a1"/>
    <w:link w:val="aa"/>
    <w:rsid w:val="001A0263"/>
    <w:rPr>
      <w:snapToGrid w:val="0"/>
      <w:lang w:val="fr-FR"/>
    </w:rPr>
  </w:style>
  <w:style w:type="paragraph" w:customStyle="1" w:styleId="Text4">
    <w:name w:val="Text 4"/>
    <w:basedOn w:val="a0"/>
    <w:rsid w:val="001A0263"/>
    <w:pPr>
      <w:spacing w:before="120" w:after="120"/>
      <w:ind w:left="850"/>
      <w:jc w:val="both"/>
    </w:pPr>
    <w:rPr>
      <w:snapToGrid/>
      <w:sz w:val="24"/>
      <w:szCs w:val="24"/>
      <w:lang w:val="en-GB"/>
    </w:rPr>
  </w:style>
  <w:style w:type="paragraph" w:customStyle="1" w:styleId="TableTitle">
    <w:name w:val="Table Title"/>
    <w:basedOn w:val="a0"/>
    <w:next w:val="a0"/>
    <w:rsid w:val="001A0263"/>
    <w:pPr>
      <w:spacing w:before="120" w:after="120"/>
      <w:jc w:val="center"/>
    </w:pPr>
    <w:rPr>
      <w:b/>
      <w:snapToGrid/>
      <w:sz w:val="24"/>
      <w:szCs w:val="24"/>
      <w:lang w:val="en-GB"/>
    </w:rPr>
  </w:style>
  <w:style w:type="paragraph" w:customStyle="1" w:styleId="ListDash1">
    <w:name w:val="List Dash 1"/>
    <w:basedOn w:val="a0"/>
    <w:rsid w:val="001A0263"/>
    <w:pPr>
      <w:numPr>
        <w:numId w:val="37"/>
      </w:numPr>
      <w:spacing w:before="120" w:after="120"/>
      <w:jc w:val="both"/>
    </w:pPr>
    <w:rPr>
      <w:snapToGrid/>
      <w:sz w:val="24"/>
      <w:szCs w:val="24"/>
      <w:lang w:val="en-GB" w:eastAsia="de-DE"/>
    </w:rPr>
  </w:style>
  <w:style w:type="paragraph" w:customStyle="1" w:styleId="Default">
    <w:name w:val="Default"/>
    <w:rsid w:val="001A0263"/>
    <w:pPr>
      <w:autoSpaceDE w:val="0"/>
      <w:autoSpaceDN w:val="0"/>
      <w:adjustRightInd w:val="0"/>
    </w:pPr>
    <w:rPr>
      <w:rFonts w:ascii="Calibri" w:hAnsi="Calibri" w:cs="Calibri"/>
      <w:color w:val="000000"/>
      <w:sz w:val="24"/>
      <w:szCs w:val="24"/>
      <w:lang w:val="en-GB" w:eastAsia="en-GB"/>
    </w:rPr>
  </w:style>
  <w:style w:type="character" w:customStyle="1" w:styleId="Text2Char">
    <w:name w:val="Text 2 Char"/>
    <w:link w:val="Text2"/>
    <w:locked/>
    <w:rsid w:val="001A0263"/>
    <w:rPr>
      <w:sz w:val="24"/>
      <w:lang w:val="fr-FR" w:eastAsia="en-GB"/>
    </w:rPr>
  </w:style>
  <w:style w:type="paragraph" w:customStyle="1" w:styleId="Tabela">
    <w:name w:val="Tabela"/>
    <w:basedOn w:val="a0"/>
    <w:uiPriority w:val="99"/>
    <w:rsid w:val="001B7B4D"/>
    <w:pPr>
      <w:autoSpaceDE w:val="0"/>
      <w:autoSpaceDN w:val="0"/>
      <w:adjustRightInd w:val="0"/>
      <w:spacing w:line="140" w:lineRule="atLeast"/>
      <w:ind w:left="57" w:right="57"/>
      <w:textAlignment w:val="center"/>
    </w:pPr>
    <w:rPr>
      <w:rFonts w:ascii="Pragma_MonitorOficial" w:hAnsi="Pragma_MonitorOficial" w:cs="Pragma_MonitorOficial"/>
      <w:snapToGrid/>
      <w:color w:val="000000"/>
      <w:sz w:val="12"/>
      <w:szCs w:val="1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DF7E-D992-4402-89F7-62D6B4D1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5572</Words>
  <Characters>31761</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Annexe 2</vt:lpstr>
      <vt:lpstr>Annexe 2</vt:lpstr>
    </vt:vector>
  </TitlesOfParts>
  <Company>European Training Foundation</Company>
  <LinksUpToDate>false</LinksUpToDate>
  <CharactersWithSpaces>37259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dc:title>
  <dc:creator>Jean-Marc Castejon</dc:creator>
  <cp:lastModifiedBy>Lilia LG. Gavajuc</cp:lastModifiedBy>
  <cp:revision>2</cp:revision>
  <cp:lastPrinted>2014-10-27T06:47:00Z</cp:lastPrinted>
  <dcterms:created xsi:type="dcterms:W3CDTF">2015-01-26T13:48:00Z</dcterms:created>
  <dcterms:modified xsi:type="dcterms:W3CDTF">2015-01-26T13:48:00Z</dcterms:modified>
</cp:coreProperties>
</file>